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4887A">
      <w:pPr>
        <w:pStyle w:val="2"/>
        <w:rPr>
          <w:rFonts w:hint="default" w:ascii="Nimbus Roman No9 L" w:hAnsi="Nimbus Roman No9 L" w:cs="Nimbus Roman No9 L"/>
          <w:color w:val="auto"/>
          <w:lang w:val="en-US" w:eastAsia="zh-CN"/>
        </w:rPr>
      </w:pPr>
      <w:bookmarkStart w:id="0" w:name="_GoBack"/>
      <w:bookmarkEnd w:id="0"/>
    </w:p>
    <w:p w14:paraId="614575D6">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方正小标宋简体" w:cs="Nimbus Roman No9 L"/>
          <w:color w:val="auto"/>
          <w:spacing w:val="0"/>
          <w:sz w:val="44"/>
          <w:szCs w:val="44"/>
          <w:u w:val="none"/>
          <w:lang w:eastAsia="zh-CN"/>
        </w:rPr>
        <w:t>江西省第二届高层次人才创新创业大赛</w:t>
      </w:r>
    </w:p>
    <w:p w14:paraId="1B560DF6">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方正小标宋简体" w:cs="Nimbus Roman No9 L"/>
          <w:color w:val="auto"/>
          <w:spacing w:val="0"/>
          <w:sz w:val="44"/>
          <w:szCs w:val="44"/>
          <w:u w:val="none"/>
          <w:lang w:val="en-US" w:eastAsia="zh-CN"/>
        </w:rPr>
        <w:t>有色金属</w:t>
      </w:r>
      <w:r>
        <w:rPr>
          <w:rFonts w:hint="default" w:ascii="Nimbus Roman No9 L" w:hAnsi="Nimbus Roman No9 L" w:eastAsia="方正小标宋简体" w:cs="Nimbus Roman No9 L"/>
          <w:color w:val="auto"/>
          <w:spacing w:val="0"/>
          <w:sz w:val="44"/>
          <w:szCs w:val="44"/>
          <w:u w:val="none"/>
          <w:lang w:eastAsia="zh-CN"/>
        </w:rPr>
        <w:t>专题赛公告</w:t>
      </w:r>
    </w:p>
    <w:p w14:paraId="22CD8FA4">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p>
    <w:p w14:paraId="18B51E7C">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为深入贯彻落实党的二十届四中全会精神，全面贯彻习近平总书记关于做好新时代人才工作的重要思想，强化人才对产业发展的支撑作用，根据江西省第二届高层次人才创新创业大赛有关安排，举办有色金属专题赛，现将有关事项公告如下：</w:t>
      </w:r>
    </w:p>
    <w:p w14:paraId="0D9B4B79">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eastAsia="zh-CN"/>
        </w:rPr>
      </w:pPr>
      <w:r>
        <w:rPr>
          <w:rFonts w:hint="default" w:ascii="Nimbus Roman No9 L" w:hAnsi="Nimbus Roman No9 L" w:eastAsia="黑体" w:cs="Nimbus Roman No9 L"/>
          <w:color w:val="auto"/>
          <w:spacing w:val="0"/>
          <w:kern w:val="0"/>
          <w:sz w:val="36"/>
          <w:szCs w:val="36"/>
          <w:highlight w:val="none"/>
          <w:u w:val="none"/>
        </w:rPr>
        <w:t>一、</w:t>
      </w:r>
      <w:r>
        <w:rPr>
          <w:rFonts w:hint="default" w:ascii="Nimbus Roman No9 L" w:hAnsi="Nimbus Roman No9 L" w:eastAsia="黑体" w:cs="Nimbus Roman No9 L"/>
          <w:color w:val="auto"/>
          <w:spacing w:val="0"/>
          <w:kern w:val="0"/>
          <w:sz w:val="36"/>
          <w:szCs w:val="36"/>
          <w:highlight w:val="none"/>
          <w:u w:val="none"/>
          <w:lang w:eastAsia="zh-CN"/>
        </w:rPr>
        <w:t>大赛主题</w:t>
      </w:r>
    </w:p>
    <w:p w14:paraId="32D6904C">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才聚江西 创赢未来</w:t>
      </w:r>
    </w:p>
    <w:p w14:paraId="04765541">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eastAsia="zh-CN"/>
        </w:rPr>
        <w:t>二、</w:t>
      </w:r>
      <w:r>
        <w:rPr>
          <w:rFonts w:hint="default" w:ascii="Nimbus Roman No9 L" w:hAnsi="Nimbus Roman No9 L" w:eastAsia="黑体" w:cs="Nimbus Roman No9 L"/>
          <w:color w:val="auto"/>
          <w:spacing w:val="0"/>
          <w:kern w:val="0"/>
          <w:sz w:val="36"/>
          <w:szCs w:val="36"/>
          <w:highlight w:val="none"/>
          <w:u w:val="none"/>
          <w:lang w:val="en-US" w:eastAsia="zh-CN"/>
        </w:rPr>
        <w:t>大赛时间</w:t>
      </w:r>
    </w:p>
    <w:p w14:paraId="64F7B914">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2026年5月—11月</w:t>
      </w:r>
    </w:p>
    <w:p w14:paraId="573ACBBB">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三、组织单位</w:t>
      </w:r>
    </w:p>
    <w:p w14:paraId="417A2F2F">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主办单位：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江西省委人才办、江西省工业和信息化厅、江西省商务厅。</w:t>
      </w:r>
    </w:p>
    <w:p w14:paraId="0D35040E">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承办单位：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鹰潭市委人才办、鹰潭市工业和信息化局、鹰潭市商务局、鹰潭市科技局、鹰潭市人力资源和社会保障局；江西省中小企业发展促进中心</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78B17403">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协办单位：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鹰潭市委宣传部、鹰潭市委网信办、鹰潭市政府办公室、鹰潭市教育局、鹰潭市财政局、共青团鹰潭市委、鹰潭市侨联、鹰潭市工商联、鹰潭市科协、鹰潭市融媒体中心、鹰潭国控集团、鹰潭工控集团。</w:t>
      </w:r>
    </w:p>
    <w:p w14:paraId="0A80DAA9">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shd w:val="clear" w:color="auto" w:fill="auto"/>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专题赛设立组委会，</w:t>
      </w:r>
      <w:r>
        <w:rPr>
          <w:rFonts w:hint="default" w:ascii="Nimbus Roman No9 L" w:hAnsi="Nimbus Roman No9 L" w:eastAsia="仿宋_GB2312" w:cs="Nimbus Roman No9 L"/>
          <w:b w:val="0"/>
          <w:bCs w:val="0"/>
          <w:i w:val="0"/>
          <w:iCs w:val="0"/>
          <w:color w:val="auto"/>
          <w:spacing w:val="0"/>
          <w:kern w:val="0"/>
          <w:sz w:val="36"/>
          <w:szCs w:val="36"/>
          <w:highlight w:val="none"/>
          <w:u w:val="none"/>
          <w:shd w:val="clear" w:color="auto" w:fill="auto"/>
          <w:lang w:val="en-US" w:eastAsia="zh-CN"/>
        </w:rPr>
        <w:t>组委会由主办单位、承办单位等共同组成。</w:t>
      </w:r>
    </w:p>
    <w:p w14:paraId="53545A6E">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四、赛道细分领域</w:t>
      </w:r>
    </w:p>
    <w:p w14:paraId="0C9A30D1">
      <w:pPr>
        <w:pStyle w:val="2"/>
        <w:keepNext w:val="0"/>
        <w:keepLines w:val="0"/>
        <w:pageBreakBefore w:val="0"/>
        <w:kinsoku/>
        <w:wordWrap/>
        <w:overflowPunct/>
        <w:topLinePunct w:val="0"/>
        <w:autoSpaceDE/>
        <w:autoSpaceDN/>
        <w:bidi w:val="0"/>
        <w:adjustRightInd/>
        <w:snapToGrid/>
        <w:spacing w:line="620" w:lineRule="exact"/>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1.</w:t>
      </w:r>
      <w:r>
        <w:rPr>
          <w:rFonts w:hint="default" w:ascii="Nimbus Roman No9 L" w:hAnsi="Nimbus Roman No9 L" w:cs="Nimbus Roman No9 L"/>
          <w:color w:val="auto"/>
          <w:sz w:val="36"/>
          <w:szCs w:val="36"/>
          <w:u w:val="none"/>
          <w:lang w:val="en-US" w:eastAsia="zh-CN"/>
        </w:rPr>
        <w:t xml:space="preserve"> </w:t>
      </w:r>
      <w:r>
        <w:rPr>
          <w:rFonts w:hint="default" w:ascii="Nimbus Roman No9 L" w:hAnsi="Nimbus Roman No9 L" w:eastAsia="仿宋_GB2312" w:cs="Nimbus Roman No9 L"/>
          <w:color w:val="auto"/>
          <w:sz w:val="36"/>
          <w:szCs w:val="36"/>
          <w:u w:val="none"/>
          <w:lang w:val="en-US" w:eastAsia="zh-CN"/>
        </w:rPr>
        <w:t>铜基新材料</w:t>
      </w:r>
      <w:r>
        <w:rPr>
          <w:rFonts w:hint="default" w:ascii="Nimbus Roman No9 L" w:hAnsi="Nimbus Roman No9 L" w:cs="Nimbus Roman No9 L"/>
          <w:color w:val="auto"/>
          <w:sz w:val="36"/>
          <w:szCs w:val="36"/>
          <w:u w:val="none"/>
          <w:lang w:val="en-US" w:eastAsia="zh-CN"/>
        </w:rPr>
        <w:t>，主要包括</w:t>
      </w:r>
      <w:r>
        <w:rPr>
          <w:rFonts w:hint="default" w:ascii="Nimbus Roman No9 L" w:hAnsi="Nimbus Roman No9 L" w:eastAsia="仿宋_GB2312" w:cs="Nimbus Roman No9 L"/>
          <w:color w:val="auto"/>
          <w:sz w:val="36"/>
          <w:szCs w:val="36"/>
          <w:u w:val="none"/>
          <w:lang w:val="en-US" w:eastAsia="zh-CN"/>
        </w:rPr>
        <w:t>高纯无氧铜、高强高导铜合金、耐磨耐蚀铜合金，高强高弹铜合金、高导电易切削碲铜合金、极细线用铜合金及超精细铜导线、耐高压新能源汽车用PEEK扁线、新能源汽车连接器用先进Cu-Ni-Si合金、高速传输电缆用镀银铜线、3D打印铜基粉末/构件、高能效散热铜材、先进算力用高强易焊接铜板；高端（复合）电解（压延）铜箔</w:t>
      </w:r>
      <w:r>
        <w:rPr>
          <w:rFonts w:hint="default" w:ascii="Nimbus Roman No9 L" w:hAnsi="Nimbus Roman No9 L" w:cs="Nimbus Roman No9 L"/>
          <w:color w:val="auto"/>
          <w:sz w:val="36"/>
          <w:szCs w:val="36"/>
          <w:u w:val="none"/>
          <w:lang w:val="en-US" w:eastAsia="zh-CN"/>
        </w:rPr>
        <w:t>等。</w:t>
      </w:r>
    </w:p>
    <w:p w14:paraId="4832055B">
      <w:pPr>
        <w:pStyle w:val="2"/>
        <w:keepNext w:val="0"/>
        <w:keepLines w:val="0"/>
        <w:pageBreakBefore w:val="0"/>
        <w:kinsoku/>
        <w:wordWrap/>
        <w:overflowPunct/>
        <w:topLinePunct w:val="0"/>
        <w:autoSpaceDE/>
        <w:autoSpaceDN/>
        <w:bidi w:val="0"/>
        <w:adjustRightInd/>
        <w:snapToGrid/>
        <w:spacing w:line="620" w:lineRule="exact"/>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2.</w:t>
      </w:r>
      <w:r>
        <w:rPr>
          <w:rFonts w:hint="default" w:ascii="Nimbus Roman No9 L" w:hAnsi="Nimbus Roman No9 L" w:cs="Nimbus Roman No9 L"/>
          <w:color w:val="auto"/>
          <w:sz w:val="36"/>
          <w:szCs w:val="36"/>
          <w:u w:val="none"/>
          <w:lang w:val="en-US" w:eastAsia="zh-CN"/>
        </w:rPr>
        <w:t xml:space="preserve"> </w:t>
      </w:r>
      <w:r>
        <w:rPr>
          <w:rFonts w:hint="default" w:ascii="Nimbus Roman No9 L" w:hAnsi="Nimbus Roman No9 L" w:eastAsia="仿宋_GB2312" w:cs="Nimbus Roman No9 L"/>
          <w:color w:val="auto"/>
          <w:sz w:val="36"/>
          <w:szCs w:val="36"/>
          <w:u w:val="none"/>
          <w:lang w:val="en-US" w:eastAsia="zh-CN"/>
        </w:rPr>
        <w:t>稀土新材料</w:t>
      </w:r>
      <w:r>
        <w:rPr>
          <w:rFonts w:hint="default" w:ascii="Nimbus Roman No9 L" w:hAnsi="Nimbus Roman No9 L" w:cs="Nimbus Roman No9 L"/>
          <w:color w:val="auto"/>
          <w:sz w:val="36"/>
          <w:szCs w:val="36"/>
          <w:u w:val="none"/>
          <w:lang w:val="en-US" w:eastAsia="zh-CN"/>
        </w:rPr>
        <w:t>，主要包括</w:t>
      </w:r>
      <w:r>
        <w:rPr>
          <w:rFonts w:hint="default" w:ascii="Nimbus Roman No9 L" w:hAnsi="Nimbus Roman No9 L" w:eastAsia="仿宋_GB2312" w:cs="Nimbus Roman No9 L"/>
          <w:color w:val="auto"/>
          <w:sz w:val="36"/>
          <w:szCs w:val="36"/>
          <w:u w:val="none"/>
          <w:lang w:val="en-US" w:eastAsia="zh-CN"/>
        </w:rPr>
        <w:t>超细稀土氧化物、超高纯稀土氧化物及金属、高端稀土抛光粉、钡镧铜氧/钇钡铜氧超导陶瓷材料；钕铁硼及新型稀土永磁材料；超宽色域显示用新型高效窄带发射稀土荧光粉，高效非可见光稀土发光材料，高性能红外稀土激光晶体；铈锆复合氧化物、柴油机SCR脱硝催化剂等。</w:t>
      </w:r>
    </w:p>
    <w:p w14:paraId="379CFD3E">
      <w:pPr>
        <w:pStyle w:val="2"/>
        <w:keepNext w:val="0"/>
        <w:keepLines w:val="0"/>
        <w:pageBreakBefore w:val="0"/>
        <w:kinsoku/>
        <w:wordWrap/>
        <w:overflowPunct/>
        <w:topLinePunct w:val="0"/>
        <w:autoSpaceDE/>
        <w:autoSpaceDN/>
        <w:bidi w:val="0"/>
        <w:adjustRightInd/>
        <w:snapToGrid/>
        <w:spacing w:line="620" w:lineRule="exact"/>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cs="Nimbus Roman No9 L"/>
          <w:color w:val="auto"/>
          <w:sz w:val="36"/>
          <w:szCs w:val="36"/>
          <w:u w:val="none"/>
          <w:lang w:val="en-US" w:eastAsia="zh-CN"/>
        </w:rPr>
        <w:t xml:space="preserve"> </w:t>
      </w:r>
      <w:r>
        <w:rPr>
          <w:rFonts w:hint="default" w:ascii="Nimbus Roman No9 L" w:hAnsi="Nimbus Roman No9 L" w:eastAsia="仿宋_GB2312" w:cs="Nimbus Roman No9 L"/>
          <w:color w:val="auto"/>
          <w:sz w:val="36"/>
          <w:szCs w:val="36"/>
          <w:u w:val="none"/>
          <w:lang w:val="en-US" w:eastAsia="zh-CN"/>
        </w:rPr>
        <w:t>钨基新材料</w:t>
      </w:r>
      <w:r>
        <w:rPr>
          <w:rFonts w:hint="default" w:ascii="Nimbus Roman No9 L" w:hAnsi="Nimbus Roman No9 L" w:cs="Nimbus Roman No9 L"/>
          <w:color w:val="auto"/>
          <w:sz w:val="36"/>
          <w:szCs w:val="36"/>
          <w:u w:val="none"/>
          <w:lang w:val="en-US" w:eastAsia="zh-CN"/>
        </w:rPr>
        <w:t>，主要包括</w:t>
      </w:r>
      <w:r>
        <w:rPr>
          <w:rFonts w:hint="default" w:ascii="Nimbus Roman No9 L" w:hAnsi="Nimbus Roman No9 L" w:eastAsia="仿宋_GB2312" w:cs="Nimbus Roman No9 L"/>
          <w:color w:val="auto"/>
          <w:sz w:val="36"/>
          <w:szCs w:val="36"/>
          <w:u w:val="none"/>
          <w:lang w:val="en-US" w:eastAsia="zh-CN"/>
        </w:rPr>
        <w:t>具有特殊结构性能的高性能硬质合金、超大型硬质合金、新型涂层硬质合金刀具、高端硬质合金数控刀具等；高性能特种钨丝、光伏用钨丝母线、多孔钨材、钨基高性能硬面材料等。</w:t>
      </w:r>
    </w:p>
    <w:p w14:paraId="7C31297B">
      <w:pPr>
        <w:pStyle w:val="2"/>
        <w:keepNext w:val="0"/>
        <w:keepLines w:val="0"/>
        <w:pageBreakBefore w:val="0"/>
        <w:kinsoku/>
        <w:wordWrap/>
        <w:overflowPunct/>
        <w:topLinePunct w:val="0"/>
        <w:autoSpaceDE/>
        <w:autoSpaceDN/>
        <w:bidi w:val="0"/>
        <w:adjustRightInd/>
        <w:snapToGrid/>
        <w:spacing w:line="620" w:lineRule="exact"/>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4.</w:t>
      </w:r>
      <w:r>
        <w:rPr>
          <w:rFonts w:hint="default" w:ascii="Nimbus Roman No9 L" w:hAnsi="Nimbus Roman No9 L" w:cs="Nimbus Roman No9 L"/>
          <w:color w:val="auto"/>
          <w:sz w:val="36"/>
          <w:szCs w:val="36"/>
          <w:u w:val="none"/>
          <w:lang w:val="en-US" w:eastAsia="zh-CN"/>
        </w:rPr>
        <w:t xml:space="preserve"> </w:t>
      </w:r>
      <w:r>
        <w:rPr>
          <w:rFonts w:hint="default" w:ascii="Nimbus Roman No9 L" w:hAnsi="Nimbus Roman No9 L" w:eastAsia="仿宋_GB2312" w:cs="Nimbus Roman No9 L"/>
          <w:color w:val="auto"/>
          <w:sz w:val="36"/>
          <w:szCs w:val="36"/>
          <w:u w:val="none"/>
          <w:lang w:val="en-US" w:eastAsia="zh-CN"/>
        </w:rPr>
        <w:t>铝基新材料</w:t>
      </w:r>
      <w:r>
        <w:rPr>
          <w:rFonts w:hint="default" w:ascii="Nimbus Roman No9 L" w:hAnsi="Nimbus Roman No9 L" w:cs="Nimbus Roman No9 L"/>
          <w:color w:val="auto"/>
          <w:sz w:val="36"/>
          <w:szCs w:val="36"/>
          <w:u w:val="none"/>
          <w:lang w:val="en-US" w:eastAsia="zh-CN"/>
        </w:rPr>
        <w:t>，主要包括</w:t>
      </w:r>
      <w:r>
        <w:rPr>
          <w:rFonts w:hint="default" w:ascii="Nimbus Roman No9 L" w:hAnsi="Nimbus Roman No9 L" w:eastAsia="仿宋_GB2312" w:cs="Nimbus Roman No9 L"/>
          <w:color w:val="auto"/>
          <w:sz w:val="36"/>
          <w:szCs w:val="36"/>
          <w:u w:val="none"/>
          <w:lang w:val="en-US" w:eastAsia="zh-CN"/>
        </w:rPr>
        <w:t>新能源汽车用轻质铝合金、高端铝箔、电池壳及盖用铝合金板材；新一代高强、耐热、高导电（热）铝合金；高端装备用大尺寸铝合金、新型耐蚀铝合金。</w:t>
      </w:r>
    </w:p>
    <w:p w14:paraId="6B0BD620">
      <w:pPr>
        <w:pStyle w:val="2"/>
        <w:keepNext w:val="0"/>
        <w:keepLines w:val="0"/>
        <w:pageBreakBefore w:val="0"/>
        <w:kinsoku/>
        <w:wordWrap/>
        <w:overflowPunct/>
        <w:topLinePunct w:val="0"/>
        <w:autoSpaceDE/>
        <w:autoSpaceDN/>
        <w:bidi w:val="0"/>
        <w:adjustRightInd/>
        <w:snapToGrid/>
        <w:spacing w:line="620" w:lineRule="exact"/>
        <w:textAlignment w:val="auto"/>
        <w:rPr>
          <w:rFonts w:hint="default" w:ascii="Nimbus Roman No9 L" w:hAnsi="Nimbus Roman No9 L" w:eastAsia="楷体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5.</w:t>
      </w:r>
      <w:r>
        <w:rPr>
          <w:rFonts w:hint="default" w:ascii="Nimbus Roman No9 L" w:hAnsi="Nimbus Roman No9 L" w:cs="Nimbus Roman No9 L"/>
          <w:color w:val="auto"/>
          <w:sz w:val="36"/>
          <w:szCs w:val="36"/>
          <w:u w:val="none"/>
          <w:lang w:val="en-US" w:eastAsia="zh-CN"/>
        </w:rPr>
        <w:t xml:space="preserve"> </w:t>
      </w:r>
      <w:r>
        <w:rPr>
          <w:rFonts w:hint="default" w:ascii="Nimbus Roman No9 L" w:hAnsi="Nimbus Roman No9 L" w:eastAsia="仿宋_GB2312" w:cs="Nimbus Roman No9 L"/>
          <w:color w:val="auto"/>
          <w:sz w:val="36"/>
          <w:szCs w:val="36"/>
          <w:u w:val="none"/>
          <w:lang w:val="en-US" w:eastAsia="zh-CN"/>
        </w:rPr>
        <w:t>其他</w:t>
      </w:r>
      <w:r>
        <w:rPr>
          <w:rFonts w:hint="default" w:ascii="Nimbus Roman No9 L" w:hAnsi="Nimbus Roman No9 L" w:cs="Nimbus Roman No9 L"/>
          <w:color w:val="auto"/>
          <w:sz w:val="36"/>
          <w:szCs w:val="36"/>
          <w:u w:val="none"/>
          <w:lang w:val="en-US" w:eastAsia="zh-CN"/>
        </w:rPr>
        <w:t>，主要包括</w:t>
      </w:r>
      <w:r>
        <w:rPr>
          <w:rFonts w:hint="default" w:ascii="Nimbus Roman No9 L" w:hAnsi="Nimbus Roman No9 L" w:eastAsia="仿宋_GB2312" w:cs="Nimbus Roman No9 L"/>
          <w:color w:val="auto"/>
          <w:sz w:val="36"/>
          <w:szCs w:val="36"/>
          <w:u w:val="none"/>
          <w:lang w:val="en-US" w:eastAsia="zh-CN"/>
        </w:rPr>
        <w:t>高强高导热镁合金、高强高导电镁合金材料、新型超塑性镁合金材料、超高强耐热镁合金等；高纯钽焊接管、超高温铌钽合金、超导铌材等；高纯钼/铼/铟等金属及其氧化物，超细钨铼合金丝；核级金属锆/铪等；集成电路用稀贵金属高纯靶材。</w:t>
      </w:r>
    </w:p>
    <w:p w14:paraId="0DF3C436">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五、参赛对象及条件</w:t>
      </w:r>
    </w:p>
    <w:p w14:paraId="4572EF6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分为企业组和创客组2个参赛类</w:t>
      </w:r>
      <w:r>
        <w:rPr>
          <w:rFonts w:hint="default" w:ascii="Nimbus Roman No9 L" w:hAnsi="Nimbus Roman No9 L" w:eastAsia="仿宋_GB2312" w:cs="Nimbus Roman No9 L"/>
          <w:b w:val="0"/>
          <w:bCs w:val="0"/>
          <w:color w:val="auto"/>
          <w:spacing w:val="0"/>
          <w:sz w:val="36"/>
          <w:szCs w:val="36"/>
          <w:u w:val="none"/>
          <w:lang w:val="en-US" w:eastAsia="zh-CN"/>
        </w:rPr>
        <w:t>别。</w:t>
      </w:r>
      <w:r>
        <w:rPr>
          <w:rFonts w:hint="default" w:ascii="Nimbus Roman No9 L" w:hAnsi="Nimbus Roman No9 L" w:eastAsia="仿宋_GB2312" w:cs="Nimbus Roman No9 L"/>
          <w:b/>
          <w:bCs/>
          <w:color w:val="auto"/>
          <w:spacing w:val="0"/>
          <w:sz w:val="36"/>
          <w:szCs w:val="36"/>
          <w:u w:val="none"/>
          <w:lang w:val="en-US" w:eastAsia="zh-CN"/>
        </w:rPr>
        <w:t>企业组</w:t>
      </w:r>
      <w:r>
        <w:rPr>
          <w:rFonts w:hint="default" w:ascii="Nimbus Roman No9 L" w:hAnsi="Nimbus Roman No9 L" w:eastAsia="仿宋_GB2312" w:cs="Nimbus Roman No9 L"/>
          <w:b w:val="0"/>
          <w:bCs w:val="0"/>
          <w:color w:val="auto"/>
          <w:spacing w:val="0"/>
          <w:sz w:val="36"/>
          <w:szCs w:val="36"/>
          <w:u w:val="none"/>
          <w:lang w:val="en-US" w:eastAsia="zh-CN"/>
        </w:rPr>
        <w:t>是指参赛对象为已注册的企业，参赛项目拥有产品、技术相关的自主知识产权。</w:t>
      </w:r>
      <w:r>
        <w:rPr>
          <w:rFonts w:hint="default" w:ascii="Nimbus Roman No9 L" w:hAnsi="Nimbus Roman No9 L" w:eastAsia="仿宋_GB2312" w:cs="Nimbus Roman No9 L"/>
          <w:b/>
          <w:bCs/>
          <w:color w:val="auto"/>
          <w:spacing w:val="0"/>
          <w:sz w:val="36"/>
          <w:szCs w:val="36"/>
          <w:u w:val="none"/>
          <w:lang w:val="en-US" w:eastAsia="zh-CN"/>
        </w:rPr>
        <w:t>创客组</w:t>
      </w:r>
      <w:r>
        <w:rPr>
          <w:rFonts w:hint="default" w:ascii="Nimbus Roman No9 L" w:hAnsi="Nimbus Roman No9 L" w:eastAsia="仿宋_GB2312" w:cs="Nimbus Roman No9 L"/>
          <w:b w:val="0"/>
          <w:bCs w:val="0"/>
          <w:color w:val="auto"/>
          <w:spacing w:val="0"/>
          <w:sz w:val="36"/>
          <w:szCs w:val="36"/>
          <w:u w:val="none"/>
          <w:lang w:val="en-US" w:eastAsia="zh-CN"/>
        </w:rPr>
        <w:t>是指参赛对象为尚未注册成立企业、拥有科技创新成果和创业计划的个人或团队，参赛项目包括创意、产品、技术等。</w:t>
      </w:r>
    </w:p>
    <w:p w14:paraId="3E5DCE02">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（一）企业组参赛条件</w:t>
      </w:r>
    </w:p>
    <w:p w14:paraId="54231804">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企业组人选须为企业的主要创办人或主要股东（企业第一大股东或最大自然人股东，股权〈含技术入股〉比例不低于10%），或企业核心技术持有人且技术持股；</w:t>
      </w:r>
    </w:p>
    <w:p w14:paraId="4EAB1D19">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具有较强的创新创业精神以及科技成果转化、市场开拓、经营管理和资源整合能力，在相关领域开创技术新路径、商业新模式、产业新质态有较大潜力；</w:t>
      </w:r>
    </w:p>
    <w:p w14:paraId="573F94B6">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拥有目标一致、结构合理、合作紧密的创业团队；</w:t>
      </w:r>
    </w:p>
    <w:p w14:paraId="4A3A2D34">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4. </w:t>
      </w:r>
      <w:r>
        <w:rPr>
          <w:rFonts w:hint="default" w:ascii="Nimbus Roman No9 L" w:hAnsi="Nimbus Roman No9 L" w:eastAsia="仿宋_GB2312" w:cs="Nimbus Roman No9 L"/>
          <w:b w:val="0"/>
          <w:bCs w:val="0"/>
          <w:color w:val="auto"/>
          <w:kern w:val="2"/>
          <w:sz w:val="36"/>
          <w:szCs w:val="36"/>
          <w:u w:val="none"/>
          <w:lang w:val="en-US" w:eastAsia="zh-CN" w:bidi="ar-SA"/>
        </w:rPr>
        <w:t>参赛项目已进入市场，具有良好发展潜力，拥有自主知识产权且无产权纠纷；无不良记录。</w:t>
      </w:r>
    </w:p>
    <w:p w14:paraId="0C0C61A6">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（二）创客组参赛条件</w:t>
      </w:r>
    </w:p>
    <w:p w14:paraId="3CCDE348">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创客个人或创客团队带头人一般须具有本科及以上学历，团队核心成员数量原则上不超过5人；</w:t>
      </w:r>
    </w:p>
    <w:p w14:paraId="44A87AC3">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对业绩特别突出或急需紧缺人才，经主办单位审查，可适当放宽学历等条件；</w:t>
      </w:r>
    </w:p>
    <w:p w14:paraId="11A14453">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参赛项目的创意、产品、技术及相关知识产权应归属参赛团队核心成员，与其他单位或个人无知识产权纠纷；</w:t>
      </w:r>
    </w:p>
    <w:p w14:paraId="7497E57D">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4. </w:t>
      </w:r>
      <w:r>
        <w:rPr>
          <w:rFonts w:hint="default" w:ascii="Nimbus Roman No9 L" w:hAnsi="Nimbus Roman No9 L" w:eastAsia="仿宋_GB2312" w:cs="Nimbus Roman No9 L"/>
          <w:b w:val="0"/>
          <w:bCs w:val="0"/>
          <w:color w:val="auto"/>
          <w:kern w:val="2"/>
          <w:sz w:val="36"/>
          <w:szCs w:val="36"/>
          <w:u w:val="none"/>
          <w:lang w:val="en-US" w:eastAsia="zh-CN" w:bidi="ar-SA"/>
        </w:rPr>
        <w:t>企业创新项目不得参加创客组比赛。</w:t>
      </w:r>
    </w:p>
    <w:p w14:paraId="1C6C93BB">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（三）其他要求</w:t>
      </w:r>
    </w:p>
    <w:p w14:paraId="527A2E1F">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同一企业的同一项目或相似项目不可重复报名参赛；</w:t>
      </w:r>
    </w:p>
    <w:p w14:paraId="4FA7AA0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获我省首届高层次人才创新创业大赛一、二、三等奖项目不得参赛；</w:t>
      </w:r>
    </w:p>
    <w:p w14:paraId="2DF81663">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对剽窃他人创新成果，以及使用其他不正当手段骗取奖项的参赛者，一经发现取消参赛资格。</w:t>
      </w:r>
    </w:p>
    <w:p w14:paraId="3B0290D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黑体" w:cs="Nimbus Roman No9 L"/>
          <w:bCs w:val="0"/>
          <w:color w:val="auto"/>
          <w:kern w:val="2"/>
          <w:sz w:val="36"/>
          <w:szCs w:val="36"/>
          <w:u w:val="none"/>
          <w:lang w:val="en-US" w:eastAsia="zh-CN" w:bidi="ar-SA"/>
        </w:rPr>
      </w:pPr>
      <w:r>
        <w:rPr>
          <w:rFonts w:hint="default" w:ascii="Nimbus Roman No9 L" w:hAnsi="Nimbus Roman No9 L" w:eastAsia="黑体" w:cs="Nimbus Roman No9 L"/>
          <w:color w:val="auto"/>
          <w:sz w:val="36"/>
          <w:szCs w:val="36"/>
          <w:u w:val="none"/>
          <w:lang w:val="en-US" w:eastAsia="zh-CN"/>
        </w:rPr>
        <w:t>六、赛事</w:t>
      </w:r>
      <w:r>
        <w:rPr>
          <w:rFonts w:hint="default" w:ascii="Nimbus Roman No9 L" w:hAnsi="Nimbus Roman No9 L" w:cs="Nimbus Roman No9 L"/>
          <w:color w:val="auto"/>
          <w:sz w:val="36"/>
          <w:szCs w:val="36"/>
          <w:u w:val="none"/>
          <w:lang w:val="en-US" w:eastAsia="zh-CN"/>
        </w:rPr>
        <w:t>流程</w:t>
      </w:r>
    </w:p>
    <w:p w14:paraId="2141E6C1">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主要包括报名、初赛、复赛、决赛四个阶段。</w:t>
      </w:r>
    </w:p>
    <w:p w14:paraId="0DD74376">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（一）报 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i w:val="0"/>
          <w:iCs w:val="0"/>
          <w:color w:val="auto"/>
          <w:spacing w:val="0"/>
          <w:kern w:val="2"/>
          <w:sz w:val="36"/>
          <w:szCs w:val="36"/>
          <w:highlight w:val="none"/>
          <w:u w:val="none"/>
          <w:lang w:val="en-US" w:eastAsia="zh-CN"/>
        </w:rPr>
        <w:t>8月10日前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w:t>
      </w:r>
    </w:p>
    <w:p w14:paraId="2D320BF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参赛者可登录大赛官网（https://cxcy.jxciit.gov.cn）</w:t>
      </w:r>
      <w:r>
        <w:rPr>
          <w:rFonts w:hint="default" w:ascii="Nimbus Roman No9 L" w:hAnsi="Nimbus Roman No9 L" w:eastAsia="仿宋_GB2312" w:cs="Nimbus Roman No9 L"/>
          <w:b w:val="0"/>
          <w:bCs w:val="0"/>
          <w:color w:val="auto"/>
          <w:spacing w:val="0"/>
          <w:kern w:val="2"/>
          <w:sz w:val="36"/>
          <w:szCs w:val="36"/>
          <w:u w:val="none"/>
          <w:lang w:val="en-US" w:eastAsia="zh-CN" w:bidi="ar-SA"/>
        </w:rPr>
        <w:t>直接注册报名，也可通过“人才江西”网站（https://rc.jxzzb.gov.cn）</w:t>
      </w:r>
      <w:r>
        <w:rPr>
          <w:rFonts w:hint="default" w:ascii="Nimbus Roman No9 L" w:hAnsi="Nimbus Roman No9 L" w:eastAsia="仿宋_GB2312" w:cs="Nimbus Roman No9 L"/>
          <w:b w:val="0"/>
          <w:bCs w:val="0"/>
          <w:color w:val="auto"/>
          <w:kern w:val="2"/>
          <w:sz w:val="36"/>
          <w:szCs w:val="36"/>
          <w:u w:val="none"/>
          <w:lang w:val="en-US" w:eastAsia="zh-CN" w:bidi="ar-SA"/>
        </w:rPr>
        <w:t>大赛专题链接进入大赛报名系统注册报名，大赛不向参赛者收取任何费用。参赛者应提交完整报名材料，并对所填信息的准确性和真实性负责，如有刻意隐瞒或资料造假现象，取消报名参赛资格。大赛注册报名系统开放时间为2026年5月20日至8月10日，未在大赛官网注册和上传参赛信息的不得参加大赛。经资格审查后，确定进入初赛的项目名单。</w:t>
      </w:r>
    </w:p>
    <w:p w14:paraId="15CDCC33">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（二）</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初 赛（</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8月30日前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288DCB3E">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组织评审小组对所有进入初赛的项目材料进行评审并打分，重点评审技术成果、市场前景以及与我省产业发展匹配度等情况。根据参赛项目得分，企业组按初赛项目数量的30%左右进入复赛（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最多不超过100个</w:t>
      </w:r>
      <w:r>
        <w:rPr>
          <w:rFonts w:hint="default" w:ascii="Nimbus Roman No9 L" w:hAnsi="Nimbus Roman No9 L" w:eastAsia="仿宋_GB2312" w:cs="Nimbus Roman No9 L"/>
          <w:b w:val="0"/>
          <w:bCs w:val="0"/>
          <w:color w:val="auto"/>
          <w:kern w:val="2"/>
          <w:sz w:val="36"/>
          <w:szCs w:val="36"/>
          <w:u w:val="none"/>
          <w:lang w:val="en-US" w:eastAsia="zh-CN" w:bidi="ar-SA"/>
        </w:rPr>
        <w:t>），创客组按初赛项目数量的20%左右进入复赛（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最多不超过50个</w:t>
      </w:r>
      <w:r>
        <w:rPr>
          <w:rFonts w:hint="default" w:ascii="Nimbus Roman No9 L" w:hAnsi="Nimbus Roman No9 L" w:eastAsia="仿宋_GB2312" w:cs="Nimbus Roman No9 L"/>
          <w:b w:val="0"/>
          <w:bCs w:val="0"/>
          <w:color w:val="auto"/>
          <w:kern w:val="2"/>
          <w:sz w:val="36"/>
          <w:szCs w:val="36"/>
          <w:u w:val="none"/>
          <w:lang w:val="en-US" w:eastAsia="zh-CN" w:bidi="ar-SA"/>
        </w:rPr>
        <w:t>）。</w:t>
      </w:r>
    </w:p>
    <w:p w14:paraId="58107DF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楷体_GB2312" w:cs="Nimbus Roman No9 L"/>
          <w:b w:val="0"/>
          <w:bCs w:val="0"/>
          <w:color w:val="auto"/>
          <w:kern w:val="2"/>
          <w:sz w:val="36"/>
          <w:szCs w:val="36"/>
          <w:u w:val="none"/>
          <w:lang w:val="en-US" w:eastAsia="zh-CN" w:bidi="ar-SA"/>
        </w:rPr>
        <w:t>（三）</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bidi="ar-SA"/>
        </w:rPr>
        <w:t>复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9月30日前）</w:t>
      </w:r>
    </w:p>
    <w:p w14:paraId="1E214843">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sz w:val="36"/>
          <w:szCs w:val="36"/>
          <w:u w:val="none"/>
          <w:lang w:val="en-US" w:eastAsia="zh-CN"/>
        </w:rPr>
        <w:t>邀请专家组成评审小组，分别由有色金属领域行业专家、创投专家、企业家等组成，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对海外参赛项目，可灵活采取设置线上分赛区形式进行。</w:t>
      </w:r>
      <w:r>
        <w:rPr>
          <w:rFonts w:hint="default" w:ascii="Nimbus Roman No9 L" w:hAnsi="Nimbus Roman No9 L" w:eastAsia="仿宋_GB2312" w:cs="Nimbus Roman No9 L"/>
          <w:b w:val="0"/>
          <w:bCs w:val="0"/>
          <w:color w:val="auto"/>
          <w:kern w:val="2"/>
          <w:sz w:val="36"/>
          <w:szCs w:val="36"/>
          <w:u w:val="none"/>
          <w:lang w:val="en-US" w:eastAsia="zh-CN" w:bidi="ar-SA"/>
        </w:rPr>
        <w:t>比赛过程全程录像。根据参赛项目得分，分别按企业组和创客组复赛项目数量的50%进入决赛。</w:t>
      </w:r>
    </w:p>
    <w:p w14:paraId="236FF26A">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0"/>
          <w:sz w:val="36"/>
          <w:szCs w:val="36"/>
          <w:u w:val="none"/>
        </w:rPr>
      </w:pPr>
      <w:r>
        <w:rPr>
          <w:rFonts w:hint="default" w:ascii="Nimbus Roman No9 L" w:hAnsi="Nimbus Roman No9 L" w:eastAsia="仿宋_GB2312" w:cs="Nimbus Roman No9 L"/>
          <w:b w:val="0"/>
          <w:bCs w:val="0"/>
          <w:color w:val="auto"/>
          <w:kern w:val="2"/>
          <w:sz w:val="36"/>
          <w:szCs w:val="36"/>
          <w:u w:val="none"/>
          <w:lang w:val="en-US" w:eastAsia="zh-CN" w:bidi="ar-SA"/>
        </w:rPr>
        <w:t>复赛地点设在鹰潭市。</w:t>
      </w:r>
      <w:r>
        <w:rPr>
          <w:rFonts w:hint="default" w:ascii="Nimbus Roman No9 L" w:hAnsi="Nimbus Roman No9 L" w:eastAsia="仿宋_GB2312" w:cs="Nimbus Roman No9 L"/>
          <w:b w:val="0"/>
          <w:bCs w:val="0"/>
          <w:color w:val="auto"/>
          <w:sz w:val="36"/>
          <w:szCs w:val="36"/>
          <w:u w:val="none"/>
          <w:lang w:val="en-US" w:eastAsia="zh-CN"/>
        </w:rPr>
        <w:t>复赛期间，为参赛选手免费提供赛事期间的食宿，对省外参赛选手，一并据实报销往返交通费。复赛后，</w:t>
      </w:r>
      <w:r>
        <w:rPr>
          <w:rFonts w:hint="default" w:ascii="Nimbus Roman No9 L" w:hAnsi="Nimbus Roman No9 L" w:eastAsia="仿宋_GB2312" w:cs="Nimbus Roman No9 L"/>
          <w:b w:val="0"/>
          <w:bCs w:val="0"/>
          <w:color w:val="auto"/>
          <w:kern w:val="2"/>
          <w:sz w:val="36"/>
          <w:szCs w:val="36"/>
          <w:u w:val="none"/>
          <w:lang w:val="en-US" w:eastAsia="zh-CN" w:bidi="ar-SA"/>
        </w:rPr>
        <w:t>邀请第三方机构对拟晋级决赛项目开展尽职调查</w:t>
      </w:r>
      <w:r>
        <w:rPr>
          <w:rFonts w:hint="default" w:ascii="Nimbus Roman No9 L" w:hAnsi="Nimbus Roman No9 L" w:eastAsia="仿宋_GB2312" w:cs="Nimbus Roman No9 L"/>
          <w:b w:val="0"/>
          <w:bCs w:val="0"/>
          <w:color w:val="auto"/>
          <w:kern w:val="0"/>
          <w:sz w:val="36"/>
          <w:szCs w:val="36"/>
          <w:u w:val="none"/>
        </w:rPr>
        <w:t>。</w:t>
      </w:r>
    </w:p>
    <w:p w14:paraId="345BE01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（四）决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11月15日前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567F7927">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仿宋_GB2312" w:cs="Nimbus Roman No9 L"/>
          <w:b w:val="0"/>
          <w:bCs w:val="0"/>
          <w:color w:val="auto"/>
          <w:sz w:val="36"/>
          <w:szCs w:val="36"/>
          <w:u w:val="none"/>
          <w:lang w:val="en-US" w:eastAsia="zh-CN"/>
        </w:rPr>
        <w:t>邀请专家组成评审小组，分别由有色金属领域行业专家、创投专家、企业家等组成，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比赛过程全程录像。根据评审情况确定每个参赛项目得分，企业组评出一等奖2名、二等奖4名、三等奖10名，其余进入决赛项目均评为优胜奖；创客组评出一等奖1名、二等奖2名、三等奖5名，其余进入决赛项目均评为优胜奖。</w:t>
      </w:r>
    </w:p>
    <w:p w14:paraId="48910023">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决赛地点设在南昌市。决赛期间，</w:t>
      </w:r>
      <w:r>
        <w:rPr>
          <w:rFonts w:hint="default" w:ascii="Nimbus Roman No9 L" w:hAnsi="Nimbus Roman No9 L" w:eastAsia="仿宋_GB2312" w:cs="Nimbus Roman No9 L"/>
          <w:b w:val="0"/>
          <w:bCs w:val="0"/>
          <w:color w:val="auto"/>
          <w:kern w:val="2"/>
          <w:sz w:val="36"/>
          <w:szCs w:val="36"/>
          <w:u w:val="none"/>
          <w:lang w:val="en-US" w:eastAsia="zh-CN" w:bidi="ar-SA"/>
        </w:rPr>
        <w:t>为参赛选手免费提供赛事期间的食宿，对省外参赛选手，一并据实报销往返交通费。</w:t>
      </w:r>
    </w:p>
    <w:p w14:paraId="0A85605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spacing w:val="0"/>
          <w:sz w:val="36"/>
          <w:szCs w:val="36"/>
          <w:u w:val="none"/>
          <w:lang w:val="en-US" w:eastAsia="zh-CN"/>
        </w:rPr>
      </w:pPr>
      <w:r>
        <w:rPr>
          <w:rFonts w:hint="default" w:ascii="Nimbus Roman No9 L" w:hAnsi="Nimbus Roman No9 L" w:cs="Nimbus Roman No9 L"/>
          <w:color w:val="auto"/>
          <w:sz w:val="36"/>
          <w:szCs w:val="36"/>
          <w:u w:val="none"/>
          <w:lang w:val="en-US" w:eastAsia="zh-CN"/>
        </w:rPr>
        <w:t>七、奖励及支持政策</w:t>
      </w:r>
    </w:p>
    <w:p w14:paraId="55A54BBB">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对</w:t>
      </w:r>
      <w:r>
        <w:rPr>
          <w:rFonts w:hint="default" w:ascii="Nimbus Roman No9 L" w:hAnsi="Nimbus Roman No9 L" w:eastAsia="仿宋_GB2312" w:cs="Nimbus Roman No9 L"/>
          <w:b w:val="0"/>
          <w:bCs w:val="0"/>
          <w:color w:val="auto"/>
          <w:sz w:val="36"/>
          <w:szCs w:val="36"/>
          <w:u w:val="none"/>
          <w:lang w:val="en-US" w:eastAsia="zh-CN"/>
        </w:rPr>
        <w:t>决赛评出的一、二、三等奖及优胜奖，分别给予奖金</w:t>
      </w:r>
      <w:r>
        <w:rPr>
          <w:rFonts w:hint="default" w:ascii="Nimbus Roman No9 L" w:hAnsi="Nimbus Roman No9 L" w:eastAsia="仿宋_GB2312" w:cs="Nimbus Roman No9 L"/>
          <w:b w:val="0"/>
          <w:bCs w:val="0"/>
          <w:color w:val="auto"/>
          <w:spacing w:val="0"/>
          <w:sz w:val="36"/>
          <w:szCs w:val="36"/>
          <w:u w:val="none"/>
          <w:lang w:val="en-US" w:eastAsia="zh-CN"/>
        </w:rPr>
        <w:t>30万元、15万元、8万元、2万元。相关支持政策详见附件。</w:t>
      </w:r>
    </w:p>
    <w:p w14:paraId="642D2F1C">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t xml:space="preserve">    </w:t>
      </w:r>
    </w:p>
    <w:p w14:paraId="04BF890C">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t xml:space="preserve">    </w:t>
      </w:r>
    </w:p>
    <w:p w14:paraId="3BAC532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p>
    <w:p w14:paraId="03AB27B4">
      <w:pPr>
        <w:keepNext w:val="0"/>
        <w:keepLines w:val="0"/>
        <w:pageBreakBefore w:val="0"/>
        <w:widowControl w:val="0"/>
        <w:numPr>
          <w:ilvl w:val="0"/>
          <w:numId w:val="0"/>
        </w:numPr>
        <w:kinsoku/>
        <w:wordWrap/>
        <w:overflowPunct/>
        <w:topLinePunct w:val="0"/>
        <w:autoSpaceDE w:val="0"/>
        <w:autoSpaceDN w:val="0"/>
        <w:bidi w:val="0"/>
        <w:adjustRightInd/>
        <w:snapToGrid/>
        <w:spacing w:line="650" w:lineRule="exact"/>
        <w:ind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方正楷体_GBK" w:cs="Nimbus Roman No9 L"/>
          <w:b/>
          <w:bCs/>
          <w:i w:val="0"/>
          <w:iCs w:val="0"/>
          <w:color w:val="auto"/>
          <w:spacing w:val="0"/>
          <w:kern w:val="0"/>
          <w:sz w:val="36"/>
          <w:szCs w:val="36"/>
          <w:highlight w:val="none"/>
          <w:u w:val="none"/>
          <w:lang w:val="en-US" w:eastAsia="zh-CN"/>
        </w:rPr>
        <w:t>有色金属专题赛组委会联系人：</w:t>
      </w:r>
    </w:p>
    <w:p w14:paraId="2A4F805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吴志伟    0701—6441555；</w:t>
      </w:r>
    </w:p>
    <w:p w14:paraId="7A15A31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徐青辉    0701—6440632。</w:t>
      </w:r>
    </w:p>
    <w:p w14:paraId="43C80AD7">
      <w:pPr>
        <w:pStyle w:val="5"/>
        <w:keepNext w:val="0"/>
        <w:keepLines w:val="0"/>
        <w:pageBreakBefore w:val="0"/>
        <w:numPr>
          <w:ilvl w:val="0"/>
          <w:numId w:val="0"/>
        </w:numPr>
        <w:kinsoku/>
        <w:wordWrap/>
        <w:overflowPunct/>
        <w:topLinePunct w:val="0"/>
        <w:bidi w:val="0"/>
        <w:spacing w:line="560" w:lineRule="exact"/>
        <w:textAlignment w:val="auto"/>
        <w:rPr>
          <w:rFonts w:hint="default" w:ascii="Nimbus Roman No9 L" w:hAnsi="Nimbus Roman No9 L" w:eastAsia="仿宋_GB2312" w:cs="Nimbus Roman No9 L"/>
          <w:b w:val="0"/>
          <w:bCs w:val="0"/>
          <w:color w:val="auto"/>
          <w:spacing w:val="0"/>
          <w:sz w:val="36"/>
          <w:szCs w:val="36"/>
          <w:u w:val="none"/>
          <w:lang w:val="en-US" w:eastAsia="zh-CN"/>
        </w:rPr>
      </w:pPr>
    </w:p>
    <w:p w14:paraId="0E9D9EB9">
      <w:pPr>
        <w:pStyle w:val="5"/>
        <w:keepNext w:val="0"/>
        <w:keepLines w:val="0"/>
        <w:pageBreakBefore w:val="0"/>
        <w:numPr>
          <w:ilvl w:val="0"/>
          <w:numId w:val="0"/>
        </w:numPr>
        <w:kinsoku/>
        <w:wordWrap/>
        <w:overflowPunct/>
        <w:topLinePunct w:val="0"/>
        <w:bidi w:val="0"/>
        <w:spacing w:line="560" w:lineRule="exact"/>
        <w:ind w:firstLine="720" w:firstLineChars="200"/>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color w:val="auto"/>
          <w:spacing w:val="0"/>
          <w:sz w:val="36"/>
          <w:szCs w:val="36"/>
          <w:u w:val="none"/>
          <w:lang w:val="en-US" w:eastAsia="zh-CN"/>
        </w:rPr>
        <w:t>附件：1. 江西省支持政策</w:t>
      </w:r>
    </w:p>
    <w:p w14:paraId="69FE010A">
      <w:pPr>
        <w:pStyle w:val="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eastAsia"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2. </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鹰潭市支持政策</w:t>
      </w:r>
    </w:p>
    <w:p w14:paraId="01D23891">
      <w:pPr>
        <w:pStyle w:val="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p>
    <w:p w14:paraId="242C0080">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江西省第二届高层次人才创新创业大赛</w:t>
      </w:r>
    </w:p>
    <w:p w14:paraId="3D86B634">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有色金属专题赛组委会</w:t>
      </w:r>
    </w:p>
    <w:p w14:paraId="42955AFA">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w:t>
      </w:r>
      <w:r>
        <w:rPr>
          <w:rFonts w:hint="default" w:ascii="Nimbus Roman No9 L" w:hAnsi="Nimbus Roman No9 L" w:eastAsia="仿宋_GB2312" w:cs="Nimbus Roman No9 L"/>
          <w:b w:val="0"/>
          <w:bCs w:val="0"/>
          <w:color w:val="auto"/>
          <w:kern w:val="0"/>
          <w:sz w:val="36"/>
          <w:szCs w:val="36"/>
          <w:lang w:val="en-US" w:eastAsia="zh-CN" w:bidi="ar"/>
        </w:rPr>
        <w:t xml:space="preserve"> 2026年5月</w:t>
      </w:r>
      <w:r>
        <w:rPr>
          <w:rFonts w:hint="eastAsia" w:ascii="Nimbus Roman No9 L" w:hAnsi="Nimbus Roman No9 L" w:eastAsia="仿宋_GB2312" w:cs="Nimbus Roman No9 L"/>
          <w:b w:val="0"/>
          <w:bCs w:val="0"/>
          <w:color w:val="auto"/>
          <w:kern w:val="0"/>
          <w:sz w:val="36"/>
          <w:szCs w:val="36"/>
          <w:lang w:val="en-US" w:eastAsia="zh-CN" w:bidi="ar"/>
        </w:rPr>
        <w:t>14</w:t>
      </w:r>
      <w:r>
        <w:rPr>
          <w:rFonts w:hint="default" w:ascii="Nimbus Roman No9 L" w:hAnsi="Nimbus Roman No9 L" w:eastAsia="仿宋_GB2312" w:cs="Nimbus Roman No9 L"/>
          <w:b w:val="0"/>
          <w:bCs w:val="0"/>
          <w:color w:val="auto"/>
          <w:kern w:val="0"/>
          <w:sz w:val="36"/>
          <w:szCs w:val="36"/>
          <w:lang w:val="en-US" w:eastAsia="zh-CN" w:bidi="ar"/>
        </w:rPr>
        <w:t>日</w:t>
      </w:r>
    </w:p>
    <w:p w14:paraId="64F9060F">
      <w:pPr>
        <w:rPr>
          <w:rFonts w:hint="default" w:ascii="Nimbus Roman No9 L" w:hAnsi="Nimbus Roman No9 L" w:cs="Nimbus Roman No9 L"/>
          <w:color w:val="auto"/>
        </w:rPr>
        <w:sectPr>
          <w:footerReference r:id="rId3" w:type="default"/>
          <w:pgSz w:w="11906" w:h="16838"/>
          <w:pgMar w:top="1440" w:right="1800" w:bottom="1440" w:left="1800" w:header="851" w:footer="992" w:gutter="0"/>
          <w:pgNumType w:fmt="decimal"/>
          <w:cols w:space="720" w:num="1"/>
          <w:docGrid w:type="lines" w:linePitch="312" w:charSpace="0"/>
        </w:sectPr>
      </w:pPr>
    </w:p>
    <w:p w14:paraId="377FAAF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Nimbus Roman No9 L" w:hAnsi="Nimbus Roman No9 L" w:cs="Nimbus Roman No9 L"/>
          <w:bCs w:val="0"/>
          <w:color w:val="auto"/>
          <w:kern w:val="2"/>
          <w:sz w:val="36"/>
          <w:szCs w:val="36"/>
          <w:u w:val="none"/>
          <w:lang w:val="en-US" w:eastAsia="zh-CN" w:bidi="ar-SA"/>
        </w:rPr>
      </w:pPr>
      <w:r>
        <w:rPr>
          <w:rFonts w:hint="default" w:ascii="Nimbus Roman No9 L" w:hAnsi="Nimbus Roman No9 L" w:cs="Nimbus Roman No9 L"/>
          <w:color w:val="auto"/>
          <w:sz w:val="36"/>
          <w:szCs w:val="36"/>
          <w:u w:val="none"/>
          <w:lang w:val="en-US" w:eastAsia="zh-CN"/>
        </w:rPr>
        <w:t>附件1</w:t>
      </w:r>
    </w:p>
    <w:p w14:paraId="4E0F86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方正小标宋简体" w:cs="Nimbus Roman No9 L"/>
          <w:b w:val="0"/>
          <w:bCs w:val="0"/>
          <w:color w:val="auto"/>
          <w:spacing w:val="0"/>
          <w:sz w:val="44"/>
          <w:szCs w:val="44"/>
          <w:u w:val="none"/>
          <w:lang w:val="en-US" w:eastAsia="zh-CN"/>
        </w:rPr>
        <w:t>江西省</w:t>
      </w:r>
      <w:r>
        <w:rPr>
          <w:rFonts w:hint="default" w:ascii="Nimbus Roman No9 L" w:hAnsi="Nimbus Roman No9 L" w:eastAsia="方正小标宋简体" w:cs="Nimbus Roman No9 L"/>
          <w:b w:val="0"/>
          <w:bCs w:val="0"/>
          <w:i w:val="0"/>
          <w:iCs w:val="0"/>
          <w:color w:val="auto"/>
          <w:spacing w:val="0"/>
          <w:kern w:val="0"/>
          <w:sz w:val="44"/>
          <w:szCs w:val="44"/>
          <w:highlight w:val="none"/>
          <w:u w:val="none"/>
          <w:lang w:val="en-US" w:eastAsia="zh-CN" w:bidi="ar-SA"/>
        </w:rPr>
        <w:t>支持政策</w:t>
      </w:r>
    </w:p>
    <w:p w14:paraId="35F7B2C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p>
    <w:p w14:paraId="6902C3A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一、金融政策</w:t>
      </w:r>
    </w:p>
    <w:p w14:paraId="490BAAFE">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1.</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投资支持。</w:t>
      </w:r>
      <w:r>
        <w:rPr>
          <w:rFonts w:hint="default" w:ascii="Nimbus Roman No9 L" w:hAnsi="Nimbus Roman No9 L" w:eastAsia="仿宋_GB2312" w:cs="Nimbus Roman No9 L"/>
          <w:color w:val="auto"/>
          <w:sz w:val="36"/>
          <w:szCs w:val="36"/>
          <w:u w:val="none"/>
        </w:rPr>
        <w:t>决赛一、二、三等奖且在我省落地的项目，由省现代产业引导基金下设的政策型直投基金分别给予最高2000万元、800万元、300万元的股权投资，对江西省产业发展及科创领域具备重大战略性价值的获奖项目，投资金额可一事一议。同时，由项目承接地母基金叠加进行股权投资。</w:t>
      </w:r>
    </w:p>
    <w:p w14:paraId="07FBF728">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2.</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信贷支持。</w:t>
      </w:r>
      <w:r>
        <w:rPr>
          <w:rFonts w:hint="default" w:ascii="Nimbus Roman No9 L" w:hAnsi="Nimbus Roman No9 L" w:eastAsia="仿宋_GB2312" w:cs="Nimbus Roman No9 L"/>
          <w:color w:val="auto"/>
          <w:sz w:val="36"/>
          <w:szCs w:val="36"/>
          <w:u w:val="none"/>
        </w:rPr>
        <w:t>决赛一、二、三等奖及优胜奖项目所在企业分别可获得最高</w:t>
      </w:r>
      <w:r>
        <w:rPr>
          <w:rFonts w:hint="default" w:ascii="Nimbus Roman No9 L" w:hAnsi="Nimbus Roman No9 L" w:eastAsia="仿宋_GB2312" w:cs="Nimbus Roman No9 L"/>
          <w:color w:val="auto"/>
          <w:sz w:val="36"/>
          <w:szCs w:val="36"/>
          <w:u w:val="none"/>
          <w:lang w:val="en-US" w:eastAsia="zh-CN"/>
        </w:rPr>
        <w:t>8</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5</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4</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000万元信用贷款，获奖选手可获得最高</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00万元低利率个人信用贷款服务。开辟授信审批绿色通道，优先受理、快速审批、及时放款。</w:t>
      </w:r>
    </w:p>
    <w:p w14:paraId="3238CD43">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3.</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上市服务。</w:t>
      </w:r>
      <w:r>
        <w:rPr>
          <w:rFonts w:hint="default" w:ascii="Nimbus Roman No9 L" w:hAnsi="Nimbus Roman No9 L" w:eastAsia="仿宋_GB2312" w:cs="Nimbus Roman No9 L"/>
          <w:color w:val="auto"/>
          <w:sz w:val="36"/>
          <w:szCs w:val="36"/>
          <w:u w:val="none"/>
        </w:rPr>
        <w:t>对有上市意愿、具备上市潜力的成长型企业，优先纳入省重点上市后备企业资源库，组织证券交易所、中介机构相关专家对企业开展上市培训和辅导，帮助企业开展资本对接。积极支持符合条件的企业申报IPO上市，帮助企业协调相关问题。支持符合条件的企业通过区域性股权市场“绿色通道”机制在新三板挂牌，打通创新型企业进入资本市场的“快车道”。</w:t>
      </w:r>
    </w:p>
    <w:p w14:paraId="720C238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二、人才政策</w:t>
      </w:r>
    </w:p>
    <w:p w14:paraId="497E2E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1. 在人才认定方面。</w:t>
      </w:r>
      <w:r>
        <w:rPr>
          <w:rFonts w:hint="default" w:ascii="Nimbus Roman No9 L" w:hAnsi="Nimbus Roman No9 L" w:eastAsia="仿宋_GB2312" w:cs="Nimbus Roman No9 L"/>
          <w:b w:val="0"/>
          <w:bCs w:val="0"/>
          <w:color w:val="auto"/>
          <w:spacing w:val="0"/>
          <w:sz w:val="36"/>
          <w:szCs w:val="36"/>
          <w:u w:val="none"/>
          <w:lang w:val="en-US" w:eastAsia="zh-CN"/>
        </w:rPr>
        <w:t>对获奖项目带头人（排序第1位的）：一等奖获得者，符合</w:t>
      </w:r>
      <w:r>
        <w:rPr>
          <w:rFonts w:hint="default" w:ascii="Nimbus Roman No9 L" w:hAnsi="Nimbus Roman No9 L" w:eastAsia="仿宋_GB2312" w:cs="Nimbus Roman No9 L"/>
          <w:b w:val="0"/>
          <w:bCs w:val="0"/>
          <w:color w:val="auto"/>
          <w:spacing w:val="0"/>
          <w:sz w:val="36"/>
          <w:szCs w:val="36"/>
          <w:u w:val="none"/>
          <w:lang w:eastAsia="zh-CN"/>
        </w:rPr>
        <w:t>“赣鄱英才计划”基本申报条件的，可直接入选“赣鄱英才计划”，按政策</w:t>
      </w:r>
      <w:r>
        <w:rPr>
          <w:rFonts w:hint="default" w:ascii="Nimbus Roman No9 L" w:hAnsi="Nimbus Roman No9 L" w:eastAsia="仿宋_GB2312" w:cs="Nimbus Roman No9 L"/>
          <w:b w:val="0"/>
          <w:bCs w:val="0"/>
          <w:color w:val="auto"/>
          <w:sz w:val="36"/>
          <w:szCs w:val="36"/>
          <w:u w:val="none"/>
          <w:lang w:val="en-US" w:eastAsia="zh-CN"/>
        </w:rPr>
        <w:t>给予30万—60万元的一次性补助和100万—200万元的项目资助</w:t>
      </w:r>
      <w:r>
        <w:rPr>
          <w:rFonts w:hint="default" w:ascii="Nimbus Roman No9 L" w:hAnsi="Nimbus Roman No9 L" w:eastAsia="仿宋_GB2312" w:cs="Nimbus Roman No9 L"/>
          <w:b w:val="0"/>
          <w:bCs w:val="0"/>
          <w:color w:val="auto"/>
          <w:sz w:val="36"/>
          <w:szCs w:val="36"/>
          <w:u w:val="none"/>
          <w:lang w:val="en" w:eastAsia="zh-CN"/>
        </w:rPr>
        <w:t>，并</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C类人才，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二等奖获得者，</w:t>
      </w:r>
      <w:r>
        <w:rPr>
          <w:rFonts w:hint="default" w:ascii="Nimbus Roman No9 L" w:hAnsi="Nimbus Roman No9 L" w:eastAsia="仿宋_GB2312" w:cs="Nimbus Roman No9 L"/>
          <w:b w:val="0"/>
          <w:bCs w:val="0"/>
          <w:color w:val="auto"/>
          <w:spacing w:val="0"/>
          <w:sz w:val="36"/>
          <w:szCs w:val="36"/>
          <w:u w:val="none"/>
          <w:lang w:eastAsia="zh-CN"/>
        </w:rPr>
        <w:t>可直接入选“赣鄱俊才支持计划”，并认定为省级</w:t>
      </w:r>
      <w:r>
        <w:rPr>
          <w:rFonts w:hint="default" w:ascii="Nimbus Roman No9 L" w:hAnsi="Nimbus Roman No9 L" w:eastAsia="仿宋_GB2312" w:cs="Nimbus Roman No9 L"/>
          <w:b w:val="0"/>
          <w:bCs w:val="0"/>
          <w:color w:val="auto"/>
          <w:spacing w:val="0"/>
          <w:sz w:val="36"/>
          <w:szCs w:val="36"/>
          <w:u w:val="none"/>
          <w:lang w:val="en-US" w:eastAsia="zh-CN"/>
        </w:rPr>
        <w:t>D类人才，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三等奖获得者，</w:t>
      </w:r>
      <w:r>
        <w:rPr>
          <w:rFonts w:hint="default" w:ascii="Nimbus Roman No9 L" w:hAnsi="Nimbus Roman No9 L" w:eastAsia="仿宋_GB2312" w:cs="Nimbus Roman No9 L"/>
          <w:b w:val="0"/>
          <w:bCs w:val="0"/>
          <w:color w:val="auto"/>
          <w:sz w:val="36"/>
          <w:szCs w:val="36"/>
          <w:u w:val="none"/>
          <w:lang w:val="en" w:eastAsia="zh-CN"/>
        </w:rPr>
        <w:t>直接</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E类人才，享受相应支持政策。上述人才认定政策，获奖项目需在赣注册企业并运营满1年后享受；已在赣注册企业的，需运营满1年后享受。</w:t>
      </w:r>
    </w:p>
    <w:p w14:paraId="4B8538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2. 在职称评审方面。</w:t>
      </w:r>
      <w:r>
        <w:rPr>
          <w:rFonts w:hint="default" w:ascii="Nimbus Roman No9 L" w:hAnsi="Nimbus Roman No9 L" w:eastAsia="仿宋_GB2312" w:cs="Nimbus Roman No9 L"/>
          <w:b w:val="0"/>
          <w:bCs w:val="0"/>
          <w:color w:val="auto"/>
          <w:spacing w:val="0"/>
          <w:sz w:val="36"/>
          <w:szCs w:val="36"/>
          <w:u w:val="none"/>
          <w:lang w:val="en-US" w:eastAsia="zh-CN"/>
        </w:rPr>
        <w:t>对获大赛一、二等奖项目带头人（排序第1位的），打破学历、资历、身份、台阶限制，可采取“一事一议”方式，直接申报高级职称，大赛获奖情况纳入职称评审业绩范围。</w:t>
      </w:r>
    </w:p>
    <w:p w14:paraId="56350F2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三、项目落地服务</w:t>
      </w:r>
    </w:p>
    <w:p w14:paraId="365EA3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 w:eastAsia="zh-CN"/>
        </w:rPr>
        <w:t>建立大赛落地项目库，项目落地所在设区市、县（市、区）、开发区（园区）配备服务专员，综合运用人才支持政策、产业发展扶持资金等，提供全方位、全周期项目落地服务保障。</w:t>
      </w:r>
    </w:p>
    <w:p w14:paraId="091AC4D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Nimbus Roman No9 L" w:hAnsi="Nimbus Roman No9 L" w:eastAsia="楷体_GB2312" w:cs="Nimbus Roman No9 L"/>
          <w:b w:val="0"/>
          <w:bCs/>
          <w:color w:val="auto"/>
          <w:kern w:val="2"/>
          <w:sz w:val="32"/>
          <w:szCs w:val="32"/>
          <w:lang w:val="en-US" w:eastAsia="zh-CN" w:bidi="ar-SA"/>
        </w:rPr>
      </w:pPr>
      <w:r>
        <w:rPr>
          <w:rFonts w:hint="default" w:ascii="Nimbus Roman No9 L" w:hAnsi="Nimbus Roman No9 L" w:eastAsia="仿宋_GB2312" w:cs="Nimbus Roman No9 L"/>
          <w:b w:val="0"/>
          <w:bCs w:val="0"/>
          <w:color w:val="auto"/>
          <w:spacing w:val="0"/>
          <w:sz w:val="32"/>
          <w:szCs w:val="32"/>
          <w:u w:val="none"/>
          <w:lang w:val="en-US" w:eastAsia="zh-CN"/>
        </w:rPr>
        <w:br w:type="page"/>
      </w:r>
      <w:r>
        <w:rPr>
          <w:rFonts w:hint="default" w:ascii="Nimbus Roman No9 L" w:hAnsi="Nimbus Roman No9 L" w:eastAsia="黑体" w:cs="Nimbus Roman No9 L"/>
          <w:b w:val="0"/>
          <w:bCs/>
          <w:color w:val="auto"/>
          <w:kern w:val="2"/>
          <w:sz w:val="36"/>
          <w:szCs w:val="36"/>
          <w:lang w:val="en-US" w:eastAsia="zh-CN" w:bidi="ar-SA"/>
        </w:rPr>
        <w:t xml:space="preserve">附件2 </w:t>
      </w:r>
    </w:p>
    <w:p w14:paraId="10B6B0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_GBK" w:cs="Nimbus Roman No9 L"/>
          <w:b w:val="0"/>
          <w:bCs w:val="0"/>
          <w:color w:val="auto"/>
          <w:kern w:val="2"/>
          <w:sz w:val="44"/>
          <w:szCs w:val="44"/>
          <w:lang w:val="en-US" w:eastAsia="zh-CN" w:bidi="ar-SA"/>
        </w:rPr>
      </w:pPr>
      <w:r>
        <w:rPr>
          <w:rFonts w:hint="default" w:ascii="Nimbus Roman No9 L" w:hAnsi="Nimbus Roman No9 L" w:eastAsia="方正小标宋_GBK" w:cs="Nimbus Roman No9 L"/>
          <w:b w:val="0"/>
          <w:bCs w:val="0"/>
          <w:color w:val="auto"/>
          <w:kern w:val="2"/>
          <w:sz w:val="44"/>
          <w:szCs w:val="44"/>
          <w:lang w:val="en-US" w:eastAsia="zh-CN" w:bidi="ar-SA"/>
        </w:rPr>
        <w:t>鹰潭市支持政策</w:t>
      </w:r>
    </w:p>
    <w:p w14:paraId="1DD18CD4">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Nimbus Roman No9 L" w:hAnsi="Nimbus Roman No9 L" w:cs="Nimbus Roman No9 L"/>
          <w:color w:val="auto"/>
          <w:sz w:val="36"/>
          <w:szCs w:val="36"/>
          <w:lang w:val="en-US" w:eastAsia="zh-CN"/>
        </w:rPr>
      </w:pPr>
    </w:p>
    <w:p w14:paraId="47D6AED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1.对晋级决赛且在鹰潭市落地实施满一年的项目，按照省级奖励资金1:1的比例，对决赛一、二、三等奖及优胜奖分别给予30万元、15万元、8万元、2万元配套资金奖励。</w:t>
      </w:r>
    </w:p>
    <w:p w14:paraId="69E6650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2.对获得决赛一、二等奖且在鹰潭市落地实施满一年的项目，以所获省级人才计划项目资金的10%进行配套资助；对获得决赛三等奖且在鹰潭市落地实施满一年的项目，符合“鹰才计划”基本申报条件的，可直接进入实地考察环节，入选后给予5万—20万元的项目资助。</w:t>
      </w:r>
    </w:p>
    <w:p w14:paraId="18FDAC9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3.对获得决赛一、二、三等奖且在鹰潭市落地实施或入驻铜创谷满一年的铜产业领域急需紧缺的重大创新人才团队，经评估可直接立项或简化评审程序，给予100万元的项目资助。</w:t>
      </w:r>
    </w:p>
    <w:p w14:paraId="455E32B8">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4.对获得决赛一、二、三等奖且在鹰潭市落地实施的项目，在获得省级基金投资支持的基础上，由市现代产业引导基金予以最高1000万元、500万元、200万元的配套投资。</w:t>
      </w:r>
    </w:p>
    <w:p w14:paraId="1EB42FF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5.对获得决赛一、二、三等奖且在鹰潭市落地实施的项目带头人（排序第1位的），属于省外引进并完成人才认定的，享受相应的生活补贴、购房补贴等人才政策。</w:t>
      </w:r>
    </w:p>
    <w:p w14:paraId="6431799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jc w:val="both"/>
        <w:textAlignment w:val="auto"/>
        <w:rPr>
          <w:rFonts w:hint="default" w:ascii="Nimbus Roman No9 L" w:hAnsi="Nimbus Roman No9 L" w:cs="Nimbus Roman No9 L"/>
          <w:color w:val="auto"/>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6.对获得决赛一、二、三等奖且在鹰潭市落地实施的项目，符合创新券立项条件的优先予以支持，根据项目实际经费决算情况及创新券额度，兑现最高不超过项目创新投入额的50%，每个项目最高100万元。</w:t>
      </w: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763C11-AD0C-4539-A875-5A453EE71A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A998840-576B-4F30-8779-62BEE9D93BA3}"/>
  </w:font>
  <w:font w:name="仿宋_GB2312">
    <w:altName w:val="仿宋"/>
    <w:panose1 w:val="02010609030101010101"/>
    <w:charset w:val="86"/>
    <w:family w:val="auto"/>
    <w:pitch w:val="default"/>
    <w:sig w:usb0="00000001" w:usb1="080E0000" w:usb2="00000000" w:usb3="00000000" w:csb0="00040000" w:csb1="00000000"/>
    <w:embedRegular r:id="rId3" w:fontKey="{40582411-9D0B-4966-8A1A-A0E18BE8CA93}"/>
  </w:font>
  <w:font w:name="仿宋">
    <w:panose1 w:val="02010609060101010101"/>
    <w:charset w:val="86"/>
    <w:family w:val="auto"/>
    <w:pitch w:val="default"/>
    <w:sig w:usb0="800002BF" w:usb1="38CF7CFA" w:usb2="00000016" w:usb3="00000000" w:csb0="00040001" w:csb1="00000000"/>
  </w:font>
  <w:font w:name="Nimbus Roman No9 L">
    <w:altName w:val="Noto Serif SC"/>
    <w:panose1 w:val="00000000000000000000"/>
    <w:charset w:val="00"/>
    <w:family w:val="auto"/>
    <w:pitch w:val="default"/>
    <w:sig w:usb0="00000000" w:usb1="00000000" w:usb2="00000000" w:usb3="00000000" w:csb0="00040001" w:csb1="00000000"/>
    <w:embedRegular r:id="rId4" w:fontKey="{DCE290C7-313D-4081-8A9D-047FE64A5CDE}"/>
  </w:font>
  <w:font w:name="方正小标宋简体">
    <w:panose1 w:val="02000000000000000000"/>
    <w:charset w:val="86"/>
    <w:family w:val="auto"/>
    <w:pitch w:val="default"/>
    <w:sig w:usb0="00000001" w:usb1="08000000" w:usb2="00000000" w:usb3="00000000" w:csb0="00040000" w:csb1="00000000"/>
    <w:embedRegular r:id="rId5" w:fontKey="{678F55B3-F438-494F-A851-0C6E4C150447}"/>
  </w:font>
  <w:font w:name="楷体_GB2312">
    <w:altName w:val="楷体"/>
    <w:panose1 w:val="02010609030101010101"/>
    <w:charset w:val="86"/>
    <w:family w:val="auto"/>
    <w:pitch w:val="default"/>
    <w:sig w:usb0="00000001" w:usb1="080E0000" w:usb2="00000000" w:usb3="00000000" w:csb0="00040000" w:csb1="00000000"/>
    <w:embedRegular r:id="rId6" w:fontKey="{21B63876-260A-4B3F-8005-CC45A1FDC523}"/>
  </w:font>
  <w:font w:name="方正楷体_GBK">
    <w:altName w:val="微软雅黑"/>
    <w:panose1 w:val="02000000000000000000"/>
    <w:charset w:val="86"/>
    <w:family w:val="auto"/>
    <w:pitch w:val="default"/>
    <w:sig w:usb0="00000001" w:usb1="08000000" w:usb2="00000000" w:usb3="00000000" w:csb0="00040000" w:csb1="00000000"/>
    <w:embedRegular r:id="rId7" w:fontKey="{5A7C1061-D53B-4983-80E1-D49197A758FF}"/>
  </w:font>
  <w:font w:name="方正小标宋_GBK">
    <w:altName w:val="微软雅黑"/>
    <w:panose1 w:val="02000000000000000000"/>
    <w:charset w:val="86"/>
    <w:family w:val="auto"/>
    <w:pitch w:val="default"/>
    <w:sig w:usb0="00000001" w:usb1="08000000" w:usb2="00000000" w:usb3="00000000" w:csb0="00040000" w:csb1="00000000"/>
    <w:embedRegular r:id="rId8" w:fontKey="{C3A5F34E-7A2E-4AB8-98A3-DFBC2D569428}"/>
  </w:font>
  <w:font w:name="Noto Serif SC">
    <w:panose1 w:val="0202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1B13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9053DF">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1cbw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ku&#10;sz59gBrT7gMmpuGdH3Lu5Ad0ZtqDijZ/kRDBOKp7vqorh0REfrRerdcVhgTG5gvisIfnIUJ6L70l&#10;2WhoxPEVVfnpI6QxdU7J1Zy/08agn9fG/eNAzOxhufexx2ylYT9Mje99e0Y+PU6+oQ4XnRLzwaGw&#10;eUlmI87GfjaOIepDV7Yo14Nwe0zYROktVxhhp8I4ssJuWq+8E4/vJevhl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VxvCyQEAAJoDAAAOAAAAAAAAAAEAIAAAAB4BAABkcnMvZTJvRG9j&#10;LnhtbFBLBQYAAAAABgAGAFkBAABZBQAAAAA=&#10;">
              <v:fill on="f" focussize="0,0"/>
              <v:stroke on="f"/>
              <v:imagedata o:title=""/>
              <o:lock v:ext="edit" aspectratio="f"/>
              <v:textbox inset="0mm,0mm,0mm,0mm" style="mso-fit-shape-to-text:t;">
                <w:txbxContent>
                  <w:p w14:paraId="0C9053DF">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6901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F212E3">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14:paraId="0CF212E3">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1"/>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27183"/>
    <w:rsid w:val="05246DD7"/>
    <w:rsid w:val="0B6D36AC"/>
    <w:rsid w:val="0CCD37C8"/>
    <w:rsid w:val="0F2131DE"/>
    <w:rsid w:val="14FD072F"/>
    <w:rsid w:val="16F5705F"/>
    <w:rsid w:val="18FC27B3"/>
    <w:rsid w:val="19D96EB2"/>
    <w:rsid w:val="1E9F430C"/>
    <w:rsid w:val="214F2A76"/>
    <w:rsid w:val="23C430F6"/>
    <w:rsid w:val="27817354"/>
    <w:rsid w:val="2E183AEA"/>
    <w:rsid w:val="32451796"/>
    <w:rsid w:val="32AF4B10"/>
    <w:rsid w:val="33F4D39C"/>
    <w:rsid w:val="37FE4C87"/>
    <w:rsid w:val="37FF5228"/>
    <w:rsid w:val="3AA31C39"/>
    <w:rsid w:val="3DDE5D20"/>
    <w:rsid w:val="3EAB0813"/>
    <w:rsid w:val="3FB71889"/>
    <w:rsid w:val="404A2495"/>
    <w:rsid w:val="409D23F4"/>
    <w:rsid w:val="43A4654F"/>
    <w:rsid w:val="44356802"/>
    <w:rsid w:val="44C51021"/>
    <w:rsid w:val="45DBCD24"/>
    <w:rsid w:val="49567A64"/>
    <w:rsid w:val="4AC45797"/>
    <w:rsid w:val="4C3B20B4"/>
    <w:rsid w:val="4E24470E"/>
    <w:rsid w:val="50A83C2D"/>
    <w:rsid w:val="5126227E"/>
    <w:rsid w:val="52AE0E17"/>
    <w:rsid w:val="52F8088D"/>
    <w:rsid w:val="53B13BBE"/>
    <w:rsid w:val="566E0413"/>
    <w:rsid w:val="57AD18D8"/>
    <w:rsid w:val="57FF1EA3"/>
    <w:rsid w:val="5BEFE8CD"/>
    <w:rsid w:val="5BFBA7C4"/>
    <w:rsid w:val="5BFF2446"/>
    <w:rsid w:val="5BFF7DA8"/>
    <w:rsid w:val="5DF82A35"/>
    <w:rsid w:val="5E36617F"/>
    <w:rsid w:val="5ED942F1"/>
    <w:rsid w:val="5F577624"/>
    <w:rsid w:val="5F9DB8AC"/>
    <w:rsid w:val="5FCD40DD"/>
    <w:rsid w:val="5FD38C6D"/>
    <w:rsid w:val="61BE2D93"/>
    <w:rsid w:val="67A03710"/>
    <w:rsid w:val="693B57DF"/>
    <w:rsid w:val="69946AE9"/>
    <w:rsid w:val="69DF5AAC"/>
    <w:rsid w:val="69EB22EA"/>
    <w:rsid w:val="6A4465A3"/>
    <w:rsid w:val="6DFB2D0C"/>
    <w:rsid w:val="6E7C509D"/>
    <w:rsid w:val="6EDB622F"/>
    <w:rsid w:val="6F295411"/>
    <w:rsid w:val="6F3C4A9B"/>
    <w:rsid w:val="6F70052A"/>
    <w:rsid w:val="73575B8E"/>
    <w:rsid w:val="73FF8884"/>
    <w:rsid w:val="751761ED"/>
    <w:rsid w:val="76EB837D"/>
    <w:rsid w:val="79FFD2FB"/>
    <w:rsid w:val="7BA574BA"/>
    <w:rsid w:val="7BBC37BE"/>
    <w:rsid w:val="7BDD8448"/>
    <w:rsid w:val="7DA367C3"/>
    <w:rsid w:val="7DF732CD"/>
    <w:rsid w:val="7EEFD92F"/>
    <w:rsid w:val="7EFB5332"/>
    <w:rsid w:val="7F3E5E59"/>
    <w:rsid w:val="7FEEF3D3"/>
    <w:rsid w:val="7FFC902B"/>
    <w:rsid w:val="8F7D1F10"/>
    <w:rsid w:val="9E3DBE48"/>
    <w:rsid w:val="AFD0AE56"/>
    <w:rsid w:val="B7EF6189"/>
    <w:rsid w:val="BA7DE54B"/>
    <w:rsid w:val="BCFF9DAB"/>
    <w:rsid w:val="BF9B2677"/>
    <w:rsid w:val="BFFF6D99"/>
    <w:rsid w:val="CB9F7DE3"/>
    <w:rsid w:val="CD91ACA3"/>
    <w:rsid w:val="CDF74384"/>
    <w:rsid w:val="CFF38292"/>
    <w:rsid w:val="D7DED929"/>
    <w:rsid w:val="D7EB93ED"/>
    <w:rsid w:val="DAADB1E0"/>
    <w:rsid w:val="DDED2C1B"/>
    <w:rsid w:val="DDFBC54F"/>
    <w:rsid w:val="DFF73ED7"/>
    <w:rsid w:val="E9FF3BD0"/>
    <w:rsid w:val="EB5F0D18"/>
    <w:rsid w:val="EE7D77E5"/>
    <w:rsid w:val="EE970D48"/>
    <w:rsid w:val="EEA7B990"/>
    <w:rsid w:val="EFF49C0B"/>
    <w:rsid w:val="F5EF5F78"/>
    <w:rsid w:val="F5FF5605"/>
    <w:rsid w:val="F77D554A"/>
    <w:rsid w:val="F86F4E2B"/>
    <w:rsid w:val="FBDF5697"/>
    <w:rsid w:val="FBEFFBA4"/>
    <w:rsid w:val="FBFF3A84"/>
    <w:rsid w:val="FBFF9C82"/>
    <w:rsid w:val="FCC34684"/>
    <w:rsid w:val="FDBB0AC5"/>
    <w:rsid w:val="FDCBF68B"/>
    <w:rsid w:val="FDCEFBBD"/>
    <w:rsid w:val="FDEBBAA1"/>
    <w:rsid w:val="FDFF729A"/>
    <w:rsid w:val="FEDFF546"/>
    <w:rsid w:val="FEEF710F"/>
    <w:rsid w:val="FEF625DE"/>
    <w:rsid w:val="FEFFA8CE"/>
    <w:rsid w:val="FFBF5515"/>
    <w:rsid w:val="FFDDCD24"/>
    <w:rsid w:val="FFDF04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widowControl/>
      <w:spacing w:before="100" w:beforeAutospacing="1" w:after="100" w:afterAutospacing="1"/>
      <w:jc w:val="left"/>
      <w:outlineLvl w:val="2"/>
    </w:pPr>
    <w:rPr>
      <w:rFonts w:ascii="宋体" w:hAnsi="宋体" w:eastAsia="黑体" w:cs="宋体"/>
      <w:bCs/>
      <w:kern w:val="0"/>
      <w:sz w:val="28"/>
      <w:szCs w:val="27"/>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line="560" w:lineRule="exact"/>
      <w:ind w:firstLine="660"/>
    </w:pPr>
    <w:rPr>
      <w:rFonts w:ascii="仿宋_GB2312" w:hAnsi="宋体" w:eastAsia="仿宋_GB2312"/>
      <w:sz w:val="32"/>
    </w:rPr>
  </w:style>
  <w:style w:type="paragraph" w:styleId="5">
    <w:name w:val="Normal Indent"/>
    <w:basedOn w:val="1"/>
    <w:qFormat/>
    <w:uiPriority w:val="0"/>
    <w:pPr>
      <w:ind w:firstLine="420" w:firstLineChars="200"/>
    </w:pPr>
    <w:rPr>
      <w:rFonts w:ascii="Times New Roman" w:hAnsi="Times New Roman" w:eastAsia="宋体" w:cs="Times New Roman"/>
    </w:rPr>
  </w:style>
  <w:style w:type="paragraph" w:styleId="6">
    <w:name w:val="Body Text"/>
    <w:basedOn w:val="1"/>
    <w:semiHidden/>
    <w:qFormat/>
    <w:uiPriority w:val="0"/>
    <w:rPr>
      <w:rFonts w:ascii="仿宋" w:hAnsi="仿宋" w:eastAsia="仿宋" w:cs="仿宋"/>
      <w:sz w:val="32"/>
      <w:szCs w:val="32"/>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p0"/>
    <w:basedOn w:val="1"/>
    <w:qFormat/>
    <w:uiPriority w:val="0"/>
    <w:pPr>
      <w:widowControl/>
      <w:adjustRightInd/>
      <w:spacing w:line="240" w:lineRule="auto"/>
      <w:textAlignment w:val="auto"/>
    </w:pPr>
    <w:rPr>
      <w:szCs w:val="21"/>
    </w:rPr>
  </w:style>
  <w:style w:type="paragraph" w:customStyle="1" w:styleId="12">
    <w:name w:val="样式 正文文本缩进 + 左侧:  2 字符"/>
    <w:qFormat/>
    <w:uiPriority w:val="0"/>
    <w:pPr>
      <w:widowControl w:val="0"/>
      <w:suppressAutoHyphens/>
      <w:spacing w:line="360" w:lineRule="auto"/>
      <w:ind w:firstLine="200"/>
      <w:jc w:val="both"/>
    </w:pPr>
    <w:rPr>
      <w:rFonts w:ascii="宋体" w:hAnsi="宋体" w:eastAsia="宋体" w:cs="宋体"/>
      <w:kern w:val="1"/>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3947</Words>
  <Characters>4147</Characters>
  <Lines>0</Lines>
  <Paragraphs>0</Paragraphs>
  <TotalTime>15.6666666666667</TotalTime>
  <ScaleCrop>false</ScaleCrop>
  <LinksUpToDate>false</LinksUpToDate>
  <CharactersWithSpaces>4227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阮菊玲</cp:lastModifiedBy>
  <cp:lastPrinted>2026-05-12T14:37:43Z</cp:lastPrinted>
  <dcterms:modified xsi:type="dcterms:W3CDTF">2026-05-19T08:28:22Z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eyJoZGlkIjoiYzdhNTA3YmVjNGQwMGJkNTI1ZDAyZGZiMTA5MmJkZDMiLCJ1c2VySWQiOiIxNTY5MDExMDAyIn0=</vt:lpwstr>
  </property>
  <property fmtid="{D5CDD505-2E9C-101B-9397-08002B2CF9AE}" pid="4" name="ICV">
    <vt:lpwstr>23DDDABC9D884DD38765BE2249594A87_13</vt:lpwstr>
  </property>
</Properties>
</file>