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4D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0" w:firstLineChars="0"/>
        <w:jc w:val="center"/>
        <w:textAlignment w:val="auto"/>
        <w:rPr>
          <w:rFonts w:hint="default" w:ascii="Nimbus Roman No9 L" w:hAnsi="Nimbus Roman No9 L" w:eastAsia="方正小标宋简体" w:cs="Nimbus Roman No9 L"/>
          <w:color w:val="auto"/>
          <w:spacing w:val="0"/>
          <w:sz w:val="44"/>
          <w:szCs w:val="44"/>
          <w:u w:val="none"/>
          <w:lang w:eastAsia="zh-CN"/>
        </w:rPr>
      </w:pPr>
      <w:bookmarkStart w:id="0" w:name="_GoBack"/>
      <w:bookmarkEnd w:id="0"/>
      <w:r>
        <w:rPr>
          <w:rFonts w:hint="default" w:ascii="Nimbus Roman No9 L" w:hAnsi="Nimbus Roman No9 L" w:eastAsia="方正小标宋简体" w:cs="Nimbus Roman No9 L"/>
          <w:color w:val="auto"/>
          <w:spacing w:val="0"/>
          <w:sz w:val="44"/>
          <w:szCs w:val="44"/>
          <w:u w:val="none"/>
          <w:lang w:eastAsia="zh-CN"/>
        </w:rPr>
        <w:t>江西省第二届高层次人才创新创业大赛</w:t>
      </w:r>
    </w:p>
    <w:p w14:paraId="4349C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jc w:val="center"/>
        <w:textAlignment w:val="auto"/>
        <w:outlineLvl w:val="9"/>
        <w:rPr>
          <w:rFonts w:hint="default" w:ascii="Nimbus Roman No9 L" w:hAnsi="Nimbus Roman No9 L" w:eastAsia="方正小标宋简体" w:cs="Nimbus Roman No9 L"/>
          <w:color w:val="auto"/>
          <w:spacing w:val="0"/>
          <w:sz w:val="44"/>
          <w:szCs w:val="44"/>
          <w:u w:val="none"/>
          <w:lang w:eastAsia="zh-CN"/>
        </w:rPr>
      </w:pPr>
      <w:r>
        <w:rPr>
          <w:rFonts w:hint="default" w:ascii="Nimbus Roman No9 L" w:hAnsi="Nimbus Roman No9 L" w:eastAsia="方正小标宋简体" w:cs="Nimbus Roman No9 L"/>
          <w:color w:val="auto"/>
          <w:spacing w:val="0"/>
          <w:sz w:val="44"/>
          <w:szCs w:val="44"/>
          <w:u w:val="none"/>
          <w:lang w:eastAsia="zh-CN"/>
        </w:rPr>
        <w:t>新材料专题赛公告</w:t>
      </w:r>
    </w:p>
    <w:p w14:paraId="28EDE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</w:p>
    <w:p w14:paraId="48961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为深入贯彻落实党的二十届四中全会精神，全面贯彻习近平总书记关于做好新时代人才工作的重要思想，强化人才对产业发展的支撑作用，根据江西省第二届高层次人才创新创业大赛有关安排，举办新材料专题赛，现将有关事项公告如下：</w:t>
      </w:r>
    </w:p>
    <w:p w14:paraId="5A9C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eastAsia="zh-CN"/>
        </w:rPr>
      </w:pPr>
      <w:r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</w:rPr>
        <w:t>一、</w:t>
      </w:r>
      <w:r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eastAsia="zh-CN"/>
        </w:rPr>
        <w:t>大赛主题</w:t>
      </w:r>
    </w:p>
    <w:p w14:paraId="05820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才聚江西 创赢未来</w:t>
      </w:r>
    </w:p>
    <w:p w14:paraId="428C8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eastAsia="zh-CN"/>
        </w:rPr>
        <w:t>二、</w:t>
      </w:r>
      <w:r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大赛时间</w:t>
      </w:r>
    </w:p>
    <w:p w14:paraId="6B2AA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2026年5月—11月</w:t>
      </w:r>
    </w:p>
    <w:p w14:paraId="1561D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三、组织单位</w:t>
      </w:r>
    </w:p>
    <w:p w14:paraId="1A2E2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主办单位：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江西省委人才办、江西省工业和信息化厅、江西省商务厅。</w:t>
      </w:r>
    </w:p>
    <w:p w14:paraId="1855C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承办单位：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萍乡市委人才办、萍乡市工业和信息化局、萍乡市商务局；江西省中小企业发展促进中心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。</w:t>
      </w:r>
    </w:p>
    <w:p w14:paraId="49B27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协办单位：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萍乡市委宣传部、萍乡市委网信办、萍乡市教育局、萍乡市科技局、萍乡市国盛控股发展集团有限公司。</w:t>
      </w:r>
    </w:p>
    <w:p w14:paraId="02906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shd w:val="clear" w:color="auto" w:fill="auto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专题赛设立组委会，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shd w:val="clear" w:color="auto" w:fill="auto"/>
          <w:lang w:val="en-US" w:eastAsia="zh-CN"/>
        </w:rPr>
        <w:t>组委会由主办单位、承办单位共同组成。</w:t>
      </w:r>
    </w:p>
    <w:p w14:paraId="43FD7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四、赛道细分领域</w:t>
      </w:r>
    </w:p>
    <w:p w14:paraId="6A2839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  <w:t xml:space="preserve">1.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eastAsia="zh-CN"/>
        </w:rPr>
        <w:t>先进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</w:rPr>
        <w:t>玻璃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eastAsia="zh-CN"/>
        </w:rPr>
        <w:t>材料，主要包含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</w:rPr>
        <w:t>低辐射镀膜（Low—E）玻璃板材、真（中）空玻璃，建筑用防火玻璃板材、高硼硅玻璃、微晶玻璃、交通工具和太阳能装备用铝硅酸盐玻璃、电致变色玻璃等新产品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eastAsia="zh-CN"/>
        </w:rPr>
        <w:t>，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</w:rPr>
        <w:t>医药包装和化妆品包装用钠钙玻璃。光伏光热一体化玻璃制品，大尺寸（1平方米及以上）钙钛矿、铜铟镓硒和碲化镉等薄膜光伏电池玻璃。</w:t>
      </w:r>
    </w:p>
    <w:p w14:paraId="1E3728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outlineLvl w:val="1"/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  <w:t xml:space="preserve">2.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</w:rPr>
        <w:t>先进陶瓷材料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eastAsia="zh-CN"/>
        </w:rPr>
        <w:t>，主要包含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  <w:t>先进陶瓷粉体材料及复合粉体材料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eastAsia="zh-CN"/>
        </w:rPr>
        <w:t>，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  <w:t>陶瓷基板、陶瓷绝缘部件、电子陶瓷部件、蜂窝陶瓷、蓄热陶瓷、陶瓷膜、陶瓷填料、陶瓷球、精密研磨抛光用陶瓷、医用精细陶瓷、陶瓷阀门、陶瓷螺杆等精密成型的陶瓷部件。高性能多级结构生物活性人工骨等生物陶瓷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eastAsia="zh-CN"/>
        </w:rPr>
        <w:t>、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  <w:t>高容量多层片式陶瓷电容器、高导热氮化铝陶瓷基板、高轻度氮化硅AMB基板、热等静压氮化硅陶瓷球、CVD高纯碳化硅泛半导体部件、大尺寸透明陶瓷部件、全固态陶瓷电池、热敏电阻陶瓷、陶瓷隔热材料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eastAsia="zh-CN"/>
        </w:rPr>
        <w:t>等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  <w:t>。</w:t>
      </w:r>
    </w:p>
    <w:p w14:paraId="29C948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outlineLvl w:val="1"/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  <w:t xml:space="preserve">3.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</w:rPr>
        <w:t>特种玻纤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eastAsia="zh-CN"/>
        </w:rPr>
        <w:t>及复合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</w:rPr>
        <w:t>材料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eastAsia="zh-CN"/>
        </w:rPr>
        <w:t>，主要包含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  <w:t>玻璃微纤维棉、高模量玻璃纤维、高强玻璃纤维、低介电玻璃纤维、本体彩色玻璃纤维、耐碱玻璃纤维、耐腐蚀玻璃纤维、玻璃纤维工业织物制品，高强高模/超细极细/超低损耗低介电电子级玻璃纤维、激光及传感用光导纤维、生物可降解玻璃纤维、半导体玻璃纤维、异型截面玻璃纤维、低膨胀玻璃纤维等新型高性能特种玻璃纤维。</w:t>
      </w:r>
    </w:p>
    <w:p w14:paraId="2AAEEE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outlineLvl w:val="1"/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  <w:t xml:space="preserve">4.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</w:rPr>
        <w:t>钙基新材料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eastAsia="zh-CN"/>
        </w:rPr>
        <w:t>，主要包含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</w:rPr>
        <w:t>超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  <w:t>细重质碳酸钙、超细轻质碳酸钙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eastAsia="zh-CN"/>
        </w:rPr>
        <w:t>、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  <w:t>活性碳酸钙、纳米级重质碳酸钙、纳米级轻质碳酸钙、碳酸钙晶须纳米碳酸钙（纳米钙）等高端钙基新材料。</w:t>
      </w:r>
    </w:p>
    <w:p w14:paraId="513124A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eastAsia="zh-CN"/>
        </w:rPr>
      </w:pPr>
      <w:r>
        <w:rPr>
          <w:rFonts w:hint="default" w:ascii="Nimbus Roman No9 L" w:hAnsi="Nimbus Roman No9 L" w:cs="Nimbus Roman No9 L"/>
          <w:color w:val="auto"/>
          <w:sz w:val="36"/>
          <w:szCs w:val="36"/>
          <w:u w:val="none"/>
          <w:lang w:val="en-US" w:eastAsia="zh-CN"/>
        </w:rPr>
        <w:t xml:space="preserve">5. </w:t>
      </w:r>
      <w:r>
        <w:rPr>
          <w:rFonts w:hint="default" w:ascii="Nimbus Roman No9 L" w:hAnsi="Nimbus Roman No9 L" w:cs="Nimbus Roman No9 L"/>
          <w:color w:val="auto"/>
          <w:sz w:val="36"/>
          <w:szCs w:val="36"/>
          <w:u w:val="none"/>
        </w:rPr>
        <w:t>氟硅新材料，主要包括新型有机硅单体</w:t>
      </w:r>
      <w:r>
        <w:rPr>
          <w:rFonts w:hint="default" w:ascii="Nimbus Roman No9 L" w:hAnsi="Nimbus Roman No9 L" w:cs="Nimbus Roman No9 L"/>
          <w:color w:val="auto"/>
          <w:sz w:val="36"/>
          <w:szCs w:val="36"/>
          <w:u w:val="none"/>
          <w:lang w:eastAsia="zh-CN"/>
        </w:rPr>
        <w:t>，</w:t>
      </w:r>
      <w:r>
        <w:rPr>
          <w:rFonts w:hint="default" w:ascii="Nimbus Roman No9 L" w:hAnsi="Nimbus Roman No9 L" w:cs="Nimbus Roman No9 L"/>
          <w:color w:val="auto"/>
          <w:sz w:val="36"/>
          <w:szCs w:val="36"/>
          <w:u w:val="none"/>
        </w:rPr>
        <w:t>硅基改性的高性能树脂、高性能合成橡胶、高性能纤维、高性能膜材料、可降解有机硅材料和功能化与智能化有机硅材料</w:t>
      </w:r>
      <w:r>
        <w:rPr>
          <w:rFonts w:hint="default" w:ascii="Nimbus Roman No9 L" w:hAnsi="Nimbus Roman No9 L" w:cs="Nimbus Roman No9 L"/>
          <w:color w:val="auto"/>
          <w:sz w:val="36"/>
          <w:szCs w:val="36"/>
          <w:u w:val="none"/>
          <w:lang w:eastAsia="zh-CN"/>
        </w:rPr>
        <w:t>；</w:t>
      </w:r>
      <w:r>
        <w:rPr>
          <w:rFonts w:hint="default" w:ascii="Nimbus Roman No9 L" w:hAnsi="Nimbus Roman No9 L" w:cs="Nimbus Roman No9 L"/>
          <w:color w:val="auto"/>
          <w:sz w:val="36"/>
          <w:szCs w:val="36"/>
          <w:u w:val="none"/>
        </w:rPr>
        <w:t>全氟烯醚等特种含氟单体</w:t>
      </w:r>
      <w:r>
        <w:rPr>
          <w:rFonts w:hint="default" w:ascii="Nimbus Roman No9 L" w:hAnsi="Nimbus Roman No9 L" w:cs="Nimbus Roman No9 L"/>
          <w:color w:val="auto"/>
          <w:sz w:val="36"/>
          <w:szCs w:val="36"/>
          <w:u w:val="none"/>
          <w:lang w:eastAsia="zh-CN"/>
        </w:rPr>
        <w:t>，</w:t>
      </w:r>
      <w:r>
        <w:rPr>
          <w:rFonts w:hint="default" w:ascii="Nimbus Roman No9 L" w:hAnsi="Nimbus Roman No9 L" w:cs="Nimbus Roman No9 L"/>
          <w:color w:val="auto"/>
          <w:sz w:val="36"/>
          <w:szCs w:val="36"/>
          <w:u w:val="none"/>
        </w:rPr>
        <w:t>新型制冷剂、聚全氟乙丙烯、聚偏氟乙烯、聚三氟氯乙烯、乙烯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—</w:t>
      </w:r>
      <w:r>
        <w:rPr>
          <w:rFonts w:hint="default" w:ascii="Nimbus Roman No9 L" w:hAnsi="Nimbus Roman No9 L" w:cs="Nimbus Roman No9 L"/>
          <w:color w:val="auto"/>
          <w:sz w:val="36"/>
          <w:szCs w:val="36"/>
          <w:u w:val="none"/>
        </w:rPr>
        <w:t>四氟乙烯共聚物等高品质氟树脂</w:t>
      </w:r>
      <w:r>
        <w:rPr>
          <w:rFonts w:hint="default" w:ascii="Nimbus Roman No9 L" w:hAnsi="Nimbus Roman No9 L" w:cs="Nimbus Roman No9 L"/>
          <w:color w:val="auto"/>
          <w:sz w:val="36"/>
          <w:szCs w:val="36"/>
          <w:u w:val="none"/>
          <w:lang w:eastAsia="zh-CN"/>
        </w:rPr>
        <w:t>，</w:t>
      </w:r>
      <w:r>
        <w:rPr>
          <w:rFonts w:hint="default" w:ascii="Nimbus Roman No9 L" w:hAnsi="Nimbus Roman No9 L" w:cs="Nimbus Roman No9 L"/>
          <w:color w:val="auto"/>
          <w:sz w:val="36"/>
          <w:szCs w:val="36"/>
          <w:u w:val="none"/>
        </w:rPr>
        <w:t>氟醚橡胶、氟硅橡胶、四丙氟橡胶等高性能氟橡胶</w:t>
      </w:r>
      <w:r>
        <w:rPr>
          <w:rFonts w:hint="default" w:ascii="Nimbus Roman No9 L" w:hAnsi="Nimbus Roman No9 L" w:cs="Nimbus Roman No9 L"/>
          <w:color w:val="auto"/>
          <w:sz w:val="36"/>
          <w:szCs w:val="36"/>
          <w:u w:val="none"/>
          <w:lang w:eastAsia="zh-CN"/>
        </w:rPr>
        <w:t>，</w:t>
      </w:r>
      <w:r>
        <w:rPr>
          <w:rFonts w:hint="default" w:ascii="Nimbus Roman No9 L" w:hAnsi="Nimbus Roman No9 L" w:cs="Nimbus Roman No9 L"/>
          <w:color w:val="auto"/>
          <w:sz w:val="36"/>
          <w:szCs w:val="36"/>
          <w:u w:val="none"/>
        </w:rPr>
        <w:t>含氟润滑油脂等材料</w:t>
      </w:r>
      <w:r>
        <w:rPr>
          <w:rFonts w:hint="default" w:ascii="Nimbus Roman No9 L" w:hAnsi="Nimbus Roman No9 L" w:cs="Nimbus Roman No9 L"/>
          <w:color w:val="auto"/>
          <w:sz w:val="36"/>
          <w:szCs w:val="36"/>
          <w:u w:val="none"/>
          <w:lang w:eastAsia="zh-CN"/>
        </w:rPr>
        <w:t>。</w:t>
      </w:r>
    </w:p>
    <w:p w14:paraId="2B4A927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720" w:firstLineChars="200"/>
        <w:textAlignment w:val="auto"/>
        <w:rPr>
          <w:rFonts w:hint="default" w:ascii="Nimbus Roman No9 L" w:hAnsi="Nimbus Roman No9 L" w:eastAsia="楷体_GB2312" w:cs="Nimbus Roman No9 L"/>
          <w:color w:val="auto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cs="Nimbus Roman No9 L"/>
          <w:color w:val="auto"/>
          <w:sz w:val="36"/>
          <w:szCs w:val="36"/>
          <w:u w:val="none"/>
          <w:lang w:val="en-US" w:eastAsia="zh-CN"/>
        </w:rPr>
        <w:t xml:space="preserve">6. </w:t>
      </w:r>
      <w:r>
        <w:rPr>
          <w:rFonts w:hint="default" w:ascii="Nimbus Roman No9 L" w:hAnsi="Nimbus Roman No9 L" w:cs="Nimbus Roman No9 L"/>
          <w:color w:val="auto"/>
          <w:sz w:val="36"/>
          <w:szCs w:val="36"/>
          <w:u w:val="none"/>
        </w:rPr>
        <w:t>电子化学品</w:t>
      </w:r>
      <w:r>
        <w:rPr>
          <w:rFonts w:hint="default" w:ascii="Nimbus Roman No9 L" w:hAnsi="Nimbus Roman No9 L" w:cs="Nimbus Roman No9 L"/>
          <w:color w:val="auto"/>
          <w:sz w:val="36"/>
          <w:szCs w:val="36"/>
          <w:u w:val="none"/>
          <w:lang w:eastAsia="zh-CN"/>
        </w:rPr>
        <w:t>，</w:t>
      </w:r>
      <w:r>
        <w:rPr>
          <w:rFonts w:hint="default" w:ascii="Nimbus Roman No9 L" w:hAnsi="Nimbus Roman No9 L" w:cs="Nimbus Roman No9 L"/>
          <w:color w:val="auto"/>
          <w:sz w:val="36"/>
          <w:szCs w:val="36"/>
          <w:u w:val="none"/>
        </w:rPr>
        <w:t>主要包括电子级氢氟酸、硫酸、磷酸、硝酸、异丙醇、抛光液、蚀刻液、N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—</w:t>
      </w:r>
      <w:r>
        <w:rPr>
          <w:rFonts w:hint="default" w:ascii="Nimbus Roman No9 L" w:hAnsi="Nimbus Roman No9 L" w:cs="Nimbus Roman No9 L"/>
          <w:color w:val="auto"/>
          <w:sz w:val="36"/>
          <w:szCs w:val="36"/>
          <w:u w:val="none"/>
        </w:rPr>
        <w:t>甲基吡咯烷酮、丙二醇甲醚醋酸酯等湿电子化学品，超净高纯试剂、光刻胶、电子气体、新型显示和先进封装材料等。</w:t>
      </w:r>
    </w:p>
    <w:p w14:paraId="336FED1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720" w:firstLineChars="200"/>
        <w:textAlignment w:val="auto"/>
        <w:rPr>
          <w:rFonts w:hint="default" w:ascii="Nimbus Roman No9 L" w:hAnsi="Nimbus Roman No9 L" w:cs="Nimbus Roman No9 L"/>
          <w:color w:val="auto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cs="Nimbus Roman No9 L"/>
          <w:color w:val="auto"/>
          <w:sz w:val="36"/>
          <w:szCs w:val="36"/>
          <w:u w:val="none"/>
          <w:lang w:val="en-US" w:eastAsia="zh-CN"/>
        </w:rPr>
        <w:t>7. 烟花爆竹新材料，主要包括钝感烟火药、无烟/微烟烟火药、无毒/微毒烟火药、可降解氧化剂、环保型可燃剂、高效稳定阻燃剂等安全环保型烟火药及材料，高亮度低能耗发光材料、特种音效材料、彩色烟雾材料、长效空中造型材料等高性能燃放效果材料，耐高温耐冲击环保型壳体材料、环保型黏合剂、可降解包装材料、防潮湿功能性包装辅料等烟花爆竹结构与包装新材料，防静电防护材料、烟花爆竹废弃物回收处理材料等安全生产与回收利用材料。</w:t>
      </w:r>
    </w:p>
    <w:p w14:paraId="380CA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五、参赛对象及条件</w:t>
      </w:r>
    </w:p>
    <w:p w14:paraId="4420901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分为企业组和创客组2个参赛类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别。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spacing w:val="0"/>
          <w:sz w:val="36"/>
          <w:szCs w:val="36"/>
          <w:u w:val="none"/>
          <w:lang w:val="en-US" w:eastAsia="zh-CN"/>
        </w:rPr>
        <w:t>企业组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是指参赛对象为已注册的企业，参赛项目拥有产品、技术相关的自主知识产权。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spacing w:val="0"/>
          <w:sz w:val="36"/>
          <w:szCs w:val="36"/>
          <w:u w:val="none"/>
          <w:lang w:val="en-US" w:eastAsia="zh-CN"/>
        </w:rPr>
        <w:t>创客组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是指参赛对象为尚未注册成立企业、拥有科技创新成果和创业计划的个人或团队，参赛项目包括创意、产品、技术等。</w:t>
      </w:r>
    </w:p>
    <w:p w14:paraId="4BAEF32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3" w:firstLineChars="200"/>
        <w:jc w:val="both"/>
        <w:textAlignment w:val="auto"/>
        <w:rPr>
          <w:rFonts w:hint="default" w:ascii="Nimbus Roman No9 L" w:hAnsi="Nimbus Roman No9 L" w:eastAsia="楷体_GB2312" w:cs="Nimbus Roman No9 L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楷体_GB2312" w:cs="Nimbus Roman No9 L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（一）企业组参赛条件</w:t>
      </w:r>
    </w:p>
    <w:p w14:paraId="6CD6A0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1.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企业组人选须为企业的主要创办人或主要股东（企业第一大股东或最大自然人股东，股权〈含技术入股〉比例不低于10%），或企业核心技术持有人且技术持股；</w:t>
      </w:r>
    </w:p>
    <w:p w14:paraId="19CE5A8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2.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具有较强的创新创业精神以及科技成果转化、市场开拓、经营管理和资源整合能力，在相关领域开创技术新路径、商业新模式、产业新质态有较大潜力；</w:t>
      </w:r>
    </w:p>
    <w:p w14:paraId="2AA3933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3.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拥有目标一致、结构合理、合作紧密的创业团队；</w:t>
      </w:r>
    </w:p>
    <w:p w14:paraId="3B731DD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4.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参赛项目已进入市场，具有良好发展潜力，拥有自主知识产权且无产权纠纷；无不良记录。</w:t>
      </w:r>
    </w:p>
    <w:p w14:paraId="1FA3AA6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3" w:firstLineChars="200"/>
        <w:jc w:val="both"/>
        <w:textAlignment w:val="auto"/>
        <w:rPr>
          <w:rFonts w:hint="default" w:ascii="Nimbus Roman No9 L" w:hAnsi="Nimbus Roman No9 L" w:eastAsia="楷体_GB2312" w:cs="Nimbus Roman No9 L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楷体_GB2312" w:cs="Nimbus Roman No9 L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（二）创客组参赛条件</w:t>
      </w:r>
    </w:p>
    <w:p w14:paraId="38B479B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1.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创客个人或创客团队带头人一般须具有本科及以上学历，团队核心成员数量原则上不超过5人；</w:t>
      </w:r>
    </w:p>
    <w:p w14:paraId="251860D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2.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对业绩特别突出或急需紧缺人才，经主办单位审查，可适当放宽学历等条件；</w:t>
      </w:r>
    </w:p>
    <w:p w14:paraId="42625AE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3.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参赛项目的创意、产品、技术及相关知识产权应归属参赛团队核心成员，与其他单位或个人无知识产权纠纷；</w:t>
      </w:r>
    </w:p>
    <w:p w14:paraId="2F68B86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4.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企业创新项目不得参加创客组比赛。</w:t>
      </w:r>
    </w:p>
    <w:p w14:paraId="5A17A91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3" w:firstLineChars="200"/>
        <w:jc w:val="both"/>
        <w:textAlignment w:val="auto"/>
        <w:rPr>
          <w:rFonts w:hint="default" w:ascii="Nimbus Roman No9 L" w:hAnsi="Nimbus Roman No9 L" w:eastAsia="楷体_GB2312" w:cs="Nimbus Roman No9 L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楷体_GB2312" w:cs="Nimbus Roman No9 L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（三）其他要求</w:t>
      </w:r>
    </w:p>
    <w:p w14:paraId="1793189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righ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1.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同一企业的同一项目或相似项目不可重复报名参赛；</w:t>
      </w:r>
    </w:p>
    <w:p w14:paraId="3667E02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righ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2.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获我省首届高层次人才创新创业大赛一、二、三等奖项目不得参赛；</w:t>
      </w:r>
    </w:p>
    <w:p w14:paraId="174A71C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righ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3.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对剽窃他人创新成果，以及使用其他不正当手段骗取奖项的参赛者，一经发现取消参赛资格。</w:t>
      </w:r>
    </w:p>
    <w:p w14:paraId="01F8E80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黑体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黑体" w:cs="Nimbus Roman No9 L"/>
          <w:color w:val="auto"/>
          <w:sz w:val="36"/>
          <w:szCs w:val="36"/>
          <w:u w:val="none"/>
          <w:lang w:val="en-US" w:eastAsia="zh-CN"/>
        </w:rPr>
        <w:t>六、赛事</w:t>
      </w:r>
      <w:r>
        <w:rPr>
          <w:rFonts w:hint="default" w:ascii="Nimbus Roman No9 L" w:hAnsi="Nimbus Roman No9 L" w:cs="Nimbus Roman No9 L"/>
          <w:color w:val="auto"/>
          <w:sz w:val="36"/>
          <w:szCs w:val="36"/>
          <w:u w:val="none"/>
          <w:lang w:val="en-US" w:eastAsia="zh-CN"/>
        </w:rPr>
        <w:t>流程</w:t>
      </w:r>
    </w:p>
    <w:p w14:paraId="17305F5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righ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主要包括报名、初赛、复赛、决赛四个阶段。</w:t>
      </w:r>
    </w:p>
    <w:p w14:paraId="09DBF50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楷体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（一）报 名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（2026年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2"/>
          <w:sz w:val="36"/>
          <w:szCs w:val="36"/>
          <w:highlight w:val="none"/>
          <w:u w:val="none"/>
          <w:lang w:val="en-US" w:eastAsia="zh-CN"/>
        </w:rPr>
        <w:t>8月10日前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）</w:t>
      </w:r>
    </w:p>
    <w:p w14:paraId="39EE04F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参赛者可登录大赛官网（https://cxcy.jxciit.gov.cn）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kern w:val="2"/>
          <w:sz w:val="36"/>
          <w:szCs w:val="36"/>
          <w:u w:val="none"/>
          <w:lang w:val="en-US" w:eastAsia="zh-CN" w:bidi="ar-SA"/>
        </w:rPr>
        <w:t>直接注册报名，也可通过“人才江西”网站（https://rc.jxzzb.gov.cn）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大赛专题链接进入大赛报名系统注册报名，大赛不向参赛者收取任何费用。参赛者应提交完整报名材料，并对所填信息的准确性和真实性负责，如有刻意隐瞒或资料造假现象，取消报名参赛资格。大赛注册报名系统开放时间为2026年5月20日至8月10日，未在大赛官网注册和上传参赛信息的不得参加大赛。经资格审查后，确定进入初赛的项目名单。</w:t>
      </w:r>
    </w:p>
    <w:p w14:paraId="2FE4B5E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（二）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初 赛（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2026年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  <w:t>8月30日前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）</w:t>
      </w:r>
    </w:p>
    <w:p w14:paraId="2FB3DD5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组织评审小组对所有进入初赛的项目材料进行评审并打分，重点评审技术成果、市场前景以及与我省产业发展匹配度等情况。根据参赛项目得分，企业组按初赛项目数量的30%左右进入复赛（</w:t>
      </w:r>
      <w:r>
        <w:rPr>
          <w:rFonts w:hint="default" w:ascii="Nimbus Roman No9 L" w:hAnsi="Nimbus Roman No9 L" w:eastAsia="楷体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最多不超过100个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），创客组按初赛项目数量的20%左右进入复赛（</w:t>
      </w:r>
      <w:r>
        <w:rPr>
          <w:rFonts w:hint="default" w:ascii="Nimbus Roman No9 L" w:hAnsi="Nimbus Roman No9 L" w:eastAsia="楷体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最多不超过50个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）。</w:t>
      </w:r>
    </w:p>
    <w:p w14:paraId="153C276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（三）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  <w:t>复 赛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（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2026年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  <w:t>9月30日前）</w:t>
      </w:r>
    </w:p>
    <w:p w14:paraId="1063CDB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20" w:lineRule="exact"/>
        <w:ind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  <w:t>邀请专家组成评审小组，分别由新材料领域行业专家、创投专家、企业家等组成，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重点对项目创新性、产业化情况、落地江西意愿及可行性等进行评审。评审采取线下路演和现场答辩的方式进行，分自我展示、项目路演、专家提问、现场评分四个环节。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对海外参赛项目，可灵活采取设置线上分赛区形式进行。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比赛过程全程录像。根据参赛项目得分，分别按企业组和创客组复赛项目数量的50%进入决赛。</w:t>
      </w:r>
    </w:p>
    <w:p w14:paraId="22EA76D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20" w:lineRule="exact"/>
        <w:ind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0"/>
          <w:sz w:val="36"/>
          <w:szCs w:val="36"/>
          <w:u w:val="none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复赛地点设在萍乡市。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  <w:t>复赛期间，为参赛选手免费提供赛事期间的食宿，对省外参赛选手，一并据实报销往返交通费。复赛后，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邀请第三方机构对拟晋级决赛项目开展尽职调查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0"/>
          <w:sz w:val="36"/>
          <w:szCs w:val="36"/>
          <w:u w:val="none"/>
        </w:rPr>
        <w:t>。</w:t>
      </w:r>
    </w:p>
    <w:p w14:paraId="6E9115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（四）决 赛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（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2026年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  <w:t>11月15日前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）</w:t>
      </w:r>
    </w:p>
    <w:p w14:paraId="7D4680A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20" w:lineRule="exact"/>
        <w:ind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  <w:t>邀请专家组成评审小组，分别由新材料领域行业专家、创投专家、企业家等组成，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重点对项目创新性、产业化情况、落地江西意愿及可行性等进行评审。评审采取线下路演和现场答辩的方式进行，分自我展示、项目路演、专家提问、现场评分四个环节。比赛过程全程录像。根据评审情况确定每个参赛项目得分，企业组评出一等奖2名、二等奖4名、三等奖10名，其余进入决赛项目均评为优胜奖；创客组评出一等奖1名、二等奖2名、三等奖5名，其余进入决赛项目均评为优胜奖。</w:t>
      </w:r>
    </w:p>
    <w:p w14:paraId="4591D9D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20" w:lineRule="exact"/>
        <w:ind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决赛地点设在南昌市。决赛期间，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为参赛选手免费提供赛事期间的食宿，对省外参赛选手，一并据实报销往返交通费。</w:t>
      </w:r>
    </w:p>
    <w:p w14:paraId="74F37D7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楷体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cs="Nimbus Roman No9 L"/>
          <w:color w:val="auto"/>
          <w:sz w:val="36"/>
          <w:szCs w:val="36"/>
          <w:u w:val="none"/>
          <w:lang w:val="en-US" w:eastAsia="zh-CN"/>
        </w:rPr>
        <w:t>七、奖励及支持政策</w:t>
      </w:r>
    </w:p>
    <w:p w14:paraId="56FFB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对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  <w:t>决赛评出的一、二、三等奖及优胜奖，分别给予奖金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30万元、15万元、8万元、2万元。相关支持政策详见附件。</w:t>
      </w:r>
    </w:p>
    <w:p w14:paraId="5E62AC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Nimbus Roman No9 L" w:hAnsi="Nimbus Roman No9 L" w:eastAsia="楷体_GB2312" w:cs="Nimbus Roman No9 L"/>
          <w:b/>
          <w:bCs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楷体_GB2312" w:cs="Nimbus Roman No9 L"/>
          <w:b/>
          <w:bCs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 xml:space="preserve">    </w:t>
      </w:r>
    </w:p>
    <w:p w14:paraId="7DF746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Nimbus Roman No9 L" w:hAnsi="Nimbus Roman No9 L" w:eastAsia="楷体_GB2312" w:cs="Nimbus Roman No9 L"/>
          <w:b/>
          <w:bCs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楷体_GB2312" w:cs="Nimbus Roman No9 L"/>
          <w:b/>
          <w:bCs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 xml:space="preserve">    </w:t>
      </w:r>
    </w:p>
    <w:p w14:paraId="3341D1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Nimbus Roman No9 L" w:hAnsi="Nimbus Roman No9 L" w:eastAsia="楷体_GB2312" w:cs="Nimbus Roman No9 L"/>
          <w:b/>
          <w:bCs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</w:p>
    <w:p w14:paraId="1FD816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50" w:lineRule="exact"/>
        <w:ind w:firstLine="720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方正楷体_GBK" w:cs="Nimbus Roman No9 L"/>
          <w:b/>
          <w:bCs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新材料专题赛组委会联系人：</w:t>
      </w:r>
    </w:p>
    <w:p w14:paraId="1E428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cs="Nimbus Roman No9 L"/>
          <w:color w:val="auto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龙  勃  0799—6238576；</w:t>
      </w:r>
    </w:p>
    <w:p w14:paraId="0DF87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胡  乐  0799—6881956。</w:t>
      </w:r>
    </w:p>
    <w:p w14:paraId="4EF8467C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</w:p>
    <w:p w14:paraId="402DCDC6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720" w:firstLineChars="200"/>
        <w:textAlignment w:val="auto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附件：1. 江西省支持政策</w:t>
      </w:r>
    </w:p>
    <w:p w14:paraId="3EC0DD6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</w:pPr>
      <w:r>
        <w:rPr>
          <w:rFonts w:hint="eastAsia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  <w:t xml:space="preserve">          2. 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  <w:t>萍乡市支持政策</w:t>
      </w:r>
    </w:p>
    <w:p w14:paraId="18511F7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</w:pPr>
    </w:p>
    <w:p w14:paraId="52E50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jc w:val="center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  <w:t xml:space="preserve">        江西省第二届高层次人才创新创业大赛</w:t>
      </w:r>
    </w:p>
    <w:p w14:paraId="5A06D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jc w:val="center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  <w:t xml:space="preserve">        新材料专题赛组委会</w:t>
      </w:r>
    </w:p>
    <w:p w14:paraId="3F21D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jc w:val="center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  <w:t xml:space="preserve">        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0"/>
          <w:sz w:val="36"/>
          <w:szCs w:val="36"/>
          <w:lang w:val="en-US" w:eastAsia="zh-CN" w:bidi="ar"/>
        </w:rPr>
        <w:t xml:space="preserve"> 2026年5月</w:t>
      </w:r>
      <w:r>
        <w:rPr>
          <w:rFonts w:hint="eastAsia" w:ascii="Nimbus Roman No9 L" w:hAnsi="Nimbus Roman No9 L" w:eastAsia="仿宋_GB2312" w:cs="Nimbus Roman No9 L"/>
          <w:b w:val="0"/>
          <w:bCs w:val="0"/>
          <w:color w:val="auto"/>
          <w:kern w:val="0"/>
          <w:sz w:val="36"/>
          <w:szCs w:val="36"/>
          <w:lang w:val="en-US" w:eastAsia="zh-CN" w:bidi="ar"/>
        </w:rPr>
        <w:t>14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0"/>
          <w:sz w:val="36"/>
          <w:szCs w:val="36"/>
          <w:lang w:val="en-US" w:eastAsia="zh-CN" w:bidi="ar"/>
        </w:rPr>
        <w:t>日</w:t>
      </w:r>
    </w:p>
    <w:p w14:paraId="0CF6E042">
      <w:pPr>
        <w:rPr>
          <w:rFonts w:hint="default" w:ascii="Nimbus Roman No9 L" w:hAnsi="Nimbus Roman No9 L" w:cs="Nimbus Roman No9 L"/>
          <w:color w:val="auto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4DFB211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Nimbus Roman No9 L" w:hAnsi="Nimbus Roman No9 L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cs="Nimbus Roman No9 L"/>
          <w:color w:val="auto"/>
          <w:sz w:val="36"/>
          <w:szCs w:val="36"/>
          <w:u w:val="none"/>
          <w:lang w:val="en-US" w:eastAsia="zh-CN"/>
        </w:rPr>
        <w:t>附件1</w:t>
      </w:r>
    </w:p>
    <w:p w14:paraId="6179D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</w:pPr>
      <w:r>
        <w:rPr>
          <w:rFonts w:hint="default" w:ascii="Nimbus Roman No9 L" w:hAnsi="Nimbus Roman No9 L" w:eastAsia="方正小标宋简体" w:cs="Nimbus Roman No9 L"/>
          <w:b w:val="0"/>
          <w:bCs w:val="0"/>
          <w:color w:val="auto"/>
          <w:spacing w:val="0"/>
          <w:sz w:val="44"/>
          <w:szCs w:val="44"/>
          <w:u w:val="none"/>
          <w:lang w:val="en-US" w:eastAsia="zh-CN"/>
        </w:rPr>
        <w:t>江西省</w:t>
      </w:r>
      <w:r>
        <w:rPr>
          <w:rFonts w:hint="default" w:ascii="Nimbus Roman No9 L" w:hAnsi="Nimbus Roman No9 L" w:eastAsia="方正小标宋简体" w:cs="Nimbus Roman No9 L"/>
          <w:b w:val="0"/>
          <w:bCs w:val="0"/>
          <w:i w:val="0"/>
          <w:iCs w:val="0"/>
          <w:color w:val="auto"/>
          <w:spacing w:val="0"/>
          <w:kern w:val="0"/>
          <w:sz w:val="44"/>
          <w:szCs w:val="44"/>
          <w:highlight w:val="none"/>
          <w:u w:val="none"/>
          <w:lang w:val="en-US" w:eastAsia="zh-CN" w:bidi="ar-SA"/>
        </w:rPr>
        <w:t>支持政策</w:t>
      </w:r>
    </w:p>
    <w:p w14:paraId="20789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</w:p>
    <w:p w14:paraId="0348D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default" w:ascii="Nimbus Roman No9 L" w:hAnsi="Nimbus Roman No9 L" w:eastAsia="黑体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黑体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一、金融政策</w:t>
      </w:r>
    </w:p>
    <w:p w14:paraId="1DB0A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</w:pPr>
      <w:r>
        <w:rPr>
          <w:rFonts w:hint="default" w:ascii="Nimbus Roman No9 L" w:hAnsi="Nimbus Roman No9 L" w:eastAsia="仿宋_GB2312" w:cs="Nimbus Roman No9 L"/>
          <w:b/>
          <w:bCs/>
          <w:color w:val="auto"/>
          <w:sz w:val="36"/>
          <w:szCs w:val="36"/>
          <w:u w:val="none"/>
        </w:rPr>
        <w:t>1.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sz w:val="36"/>
          <w:szCs w:val="36"/>
          <w:u w:val="none"/>
          <w:lang w:val="en-US" w:eastAsia="zh-CN"/>
        </w:rPr>
        <w:t xml:space="preserve"> 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sz w:val="36"/>
          <w:szCs w:val="36"/>
          <w:u w:val="none"/>
        </w:rPr>
        <w:t>投资支持。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  <w:t>决赛一、二、三等奖且在我省落地的项目，由省现代产业引导基金下设的政策型直投基金分别给予最高2000万元、800万元、300万元的股权投资，对江西省产业发展及科创领域具备重大战略性价值的获奖项目，投资金额可一事一议。同时，由项目承接地母基金叠加进行股权投资。</w:t>
      </w:r>
    </w:p>
    <w:p w14:paraId="1A070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</w:pPr>
      <w:r>
        <w:rPr>
          <w:rFonts w:hint="default" w:ascii="Nimbus Roman No9 L" w:hAnsi="Nimbus Roman No9 L" w:eastAsia="仿宋_GB2312" w:cs="Nimbus Roman No9 L"/>
          <w:b/>
          <w:bCs/>
          <w:color w:val="auto"/>
          <w:sz w:val="36"/>
          <w:szCs w:val="36"/>
          <w:u w:val="none"/>
        </w:rPr>
        <w:t>2.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sz w:val="36"/>
          <w:szCs w:val="36"/>
          <w:u w:val="none"/>
          <w:lang w:val="en-US" w:eastAsia="zh-CN"/>
        </w:rPr>
        <w:t xml:space="preserve"> 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sz w:val="36"/>
          <w:szCs w:val="36"/>
          <w:u w:val="none"/>
        </w:rPr>
        <w:t>信贷支持。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  <w:t>决赛一、二、三等奖及优胜奖项目所在企业分别可获得最高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  <w:t>8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  <w:t>000万元、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  <w:t>5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  <w:t>000万元、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  <w:t>4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  <w:t>000万元、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  <w:t>3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  <w:t>000万元信用贷款，获奖选手可获得最高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  <w:t>3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  <w:t>00万元低利率个人信用贷款服务。开辟授信审批绿色通道，优先受理、快速审批、及时放款。</w:t>
      </w:r>
    </w:p>
    <w:p w14:paraId="4882E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</w:pPr>
      <w:r>
        <w:rPr>
          <w:rFonts w:hint="default" w:ascii="Nimbus Roman No9 L" w:hAnsi="Nimbus Roman No9 L" w:eastAsia="仿宋_GB2312" w:cs="Nimbus Roman No9 L"/>
          <w:b/>
          <w:bCs/>
          <w:color w:val="auto"/>
          <w:sz w:val="36"/>
          <w:szCs w:val="36"/>
          <w:u w:val="none"/>
        </w:rPr>
        <w:t>3.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sz w:val="36"/>
          <w:szCs w:val="36"/>
          <w:u w:val="none"/>
          <w:lang w:val="en-US" w:eastAsia="zh-CN"/>
        </w:rPr>
        <w:t xml:space="preserve"> 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sz w:val="36"/>
          <w:szCs w:val="36"/>
          <w:u w:val="none"/>
        </w:rPr>
        <w:t>上市服务。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  <w:t>对有上市意愿、具备上市潜力的成长型企业，优先纳入省重点上市后备企业资源库，组织证券交易所、中介机构相关专家对企业开展上市培训和辅导，帮助企业开展资本对接。积极支持符合条件的企业申报IPO上市，帮助企业协调相关问题。支持符合条件的企业通过区域性股权市场“绿色通道”机制在新三板挂牌，打通创新型企业进入资本市场的“快车道”。</w:t>
      </w:r>
    </w:p>
    <w:p w14:paraId="60A24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default" w:ascii="Nimbus Roman No9 L" w:hAnsi="Nimbus Roman No9 L" w:eastAsia="黑体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黑体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二、人才政策</w:t>
      </w:r>
    </w:p>
    <w:p w14:paraId="5BAE27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rightChars="0" w:firstLine="723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/>
          <w:bCs/>
          <w:color w:val="auto"/>
          <w:spacing w:val="0"/>
          <w:sz w:val="36"/>
          <w:szCs w:val="36"/>
          <w:u w:val="none"/>
          <w:lang w:val="en-US" w:eastAsia="zh-CN"/>
        </w:rPr>
        <w:t>1. 在人才认定方面。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对获奖项目带头人（排序第1位的）：一等奖获得者，符合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eastAsia="zh-CN"/>
        </w:rPr>
        <w:t>“赣鄱英才计划”基本申报条件的，可直接入选“赣鄱英才计划”，按政策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  <w:t>给予30万—60万元的一次性补助和100万—200万元的项目资助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" w:eastAsia="zh-CN"/>
        </w:rPr>
        <w:t>，并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eastAsia="zh-CN"/>
        </w:rPr>
        <w:t>认定为省级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C类人才，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eastAsia="zh-CN"/>
        </w:rPr>
        <w:t>享受相应支持政策；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二等奖获得者，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eastAsia="zh-CN"/>
        </w:rPr>
        <w:t>可直接入选“赣鄱俊才支持计划”，并认定为省级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D类人才，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eastAsia="zh-CN"/>
        </w:rPr>
        <w:t>享受相应支持政策；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三等奖获得者，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" w:eastAsia="zh-CN"/>
        </w:rPr>
        <w:t>直接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eastAsia="zh-CN"/>
        </w:rPr>
        <w:t>认定为省级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E类人才，享受相应支持政策。上述人才认定政策，获奖项目需在赣注册企业并运营满1年后享受；已在赣注册企业的，需运营满1年后享受。</w:t>
      </w:r>
    </w:p>
    <w:p w14:paraId="6D2FB5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rightChars="0" w:firstLine="723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/>
          <w:bCs/>
          <w:color w:val="auto"/>
          <w:spacing w:val="0"/>
          <w:sz w:val="36"/>
          <w:szCs w:val="36"/>
          <w:u w:val="none"/>
          <w:lang w:val="en-US" w:eastAsia="zh-CN"/>
        </w:rPr>
        <w:t>2. 在职称评审方面。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对获大赛一、二等奖项目带头人（排序第1位的），打破学历、资历、身份、台阶限制，可采取“一事一议”方式，直接申报高级职称，大赛获奖情况纳入职称评审业绩范围。</w:t>
      </w:r>
    </w:p>
    <w:p w14:paraId="1CCD0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default" w:ascii="Nimbus Roman No9 L" w:hAnsi="Nimbus Roman No9 L" w:eastAsia="黑体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黑体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三、项目落地服务</w:t>
      </w:r>
    </w:p>
    <w:p w14:paraId="3D9CE8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" w:eastAsia="zh-CN"/>
        </w:rPr>
        <w:t>建立大赛落地项目库，项目落地所在设区市、县（市、区）、开发区（园区）配备服务专员，综合运用人才支持政策、产业发展扶持资金等，提供全方位、全周期项目落地服务保障。</w:t>
      </w:r>
    </w:p>
    <w:p w14:paraId="31B9C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Nimbus Roman No9 L" w:hAnsi="Nimbus Roman No9 L" w:eastAsia="楷体_GB2312" w:cs="Nimbus Roman No9 L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br w:type="page"/>
      </w:r>
      <w:r>
        <w:rPr>
          <w:rFonts w:hint="default" w:ascii="Nimbus Roman No9 L" w:hAnsi="Nimbus Roman No9 L" w:eastAsia="黑体" w:cs="Nimbus Roman No9 L"/>
          <w:b w:val="0"/>
          <w:bCs/>
          <w:color w:val="auto"/>
          <w:kern w:val="2"/>
          <w:sz w:val="36"/>
          <w:szCs w:val="36"/>
          <w:lang w:val="en-US" w:eastAsia="zh-CN" w:bidi="ar-SA"/>
        </w:rPr>
        <w:t xml:space="preserve">附件2 </w:t>
      </w:r>
    </w:p>
    <w:p w14:paraId="6E10B30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center"/>
        <w:textAlignment w:val="auto"/>
        <w:rPr>
          <w:rFonts w:hint="default" w:ascii="Nimbus Roman No9 L" w:hAnsi="Nimbus Roman No9 L" w:eastAsia="方正小标宋_GBK" w:cs="Nimbus Roman No9 L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Nimbus Roman No9 L" w:hAnsi="Nimbus Roman No9 L" w:eastAsia="方正小标宋_GBK" w:cs="Nimbus Roman No9 L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萍乡市支持政策</w:t>
      </w:r>
    </w:p>
    <w:p w14:paraId="0210534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both"/>
        <w:textAlignment w:val="auto"/>
        <w:rPr>
          <w:rFonts w:hint="default" w:ascii="Nimbus Roman No9 L" w:hAnsi="Nimbus Roman No9 L" w:eastAsia="方正小标宋_GBK" w:cs="Nimbus Roman No9 L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 w14:paraId="719E72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right="0" w:rightChars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1.对获得决赛一、二、三等奖及优胜奖且在萍乡市落地运营满一年的项目，按省级奖励资金1:1的比例，分别给予30万元、15万元、8万元、2万元配套资金奖励。</w:t>
      </w:r>
    </w:p>
    <w:p w14:paraId="6B68E5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right="0" w:rightChars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2.对获得决赛一、二、三等奖且在萍乡市落地运营满一年的项目带头人（排序第1位的），属于省外引进的，分别给予最高65万元、35万元、13万元的补贴（包括生活补贴、购房补贴、租房补贴等）。</w:t>
      </w:r>
    </w:p>
    <w:p w14:paraId="26120E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right="0" w:rightChars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3.对获得决赛一、二、三等奖且在萍乡市落地运营的项目带头人（排序第1位的），符合萍乡市新材料产业人才择优支持基本条件的，可直接获得萍乡市新材料产业人才政策支持，给予30万元—100万元经费资助。</w:t>
      </w:r>
    </w:p>
    <w:p w14:paraId="1E6C6F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right="0" w:rightChars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4.对获得决赛一、二、三等奖且在萍乡市落地运营，并符合相关文件要求的项目，由市本级和落地县（区）两级产业基金按照投资程序给予优先支持。</w:t>
      </w:r>
    </w:p>
    <w:p w14:paraId="29BD51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right="0" w:rightChars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5.对进入复赛且在萍乡市落地运营的项目，符合相关条件的，纳入萍乡市“双创融合贷”重点支持名单，给予无还本续贷、贷款贴息、见贷即保、保费补助等金融支持。</w:t>
      </w:r>
    </w:p>
    <w:p w14:paraId="15B75A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right="0" w:rightChars="0" w:firstLine="720" w:firstLineChars="200"/>
        <w:jc w:val="both"/>
        <w:textAlignment w:val="auto"/>
        <w:rPr>
          <w:rFonts w:hint="default" w:ascii="Nimbus Roman No9 L" w:hAnsi="Nimbus Roman No9 L" w:cs="Nimbus Roman No9 L"/>
          <w:color w:val="auto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6.对进入决赛且在萍乡市落地运营满一年的项目实施技术改造升级，按照不高于设备投资额10%的比例，给予单个企业最高200万元资金激励。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AECF3C-A38E-4231-95EB-FEB8690AA2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5370BEA-D561-4FB3-846B-9D1D88BFE402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3BCBE66-554B-4EE6-BE9A-6858C7B270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altName w:val="Noto Serif SC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19A4BB16-8406-40C8-ABC7-7E64286FDB6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CED5F546-088E-4B0B-9C0D-F94CD522C9E7}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D12CB8E7-E337-429B-A92B-F97935EF89F1}"/>
  </w:font>
  <w:font w:name="方正楷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7" w:fontKey="{FADAB233-8789-4283-86AA-D4CE11C603CE}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8" w:fontKey="{3F4CD489-66C0-4410-854A-724B623AF92F}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C32D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473092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54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d299MkBAACa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m+&#10;zvr0AWpMewiYmIY7P+TcyQ/ozLQHFW3+IiGCcVT3fFVXDomI/Gi9Wq8rDAmMzRfEYY/PQ4T0VnpL&#10;stHQiOMrqvLTe0hj6pySqzl/r41BP6+N+8uBmNnDcu9jj9lKw36YGt/79ox8epx8Qx0uOiXmnUNh&#10;85LMRpyN/WwcQ9SHrmxRrgfh9piwidJbrjDCToVxZIXdtF55J/68l6zHX2r7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p3b30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473092"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54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F102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536890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77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NyFa0T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536890">
                    <w:pPr>
                      <w:pStyle w:val="7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77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1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27183"/>
    <w:rsid w:val="02871E91"/>
    <w:rsid w:val="05246DD7"/>
    <w:rsid w:val="0B6D36AC"/>
    <w:rsid w:val="0CCD37C8"/>
    <w:rsid w:val="0F2131DE"/>
    <w:rsid w:val="14FD072F"/>
    <w:rsid w:val="16F5705F"/>
    <w:rsid w:val="18FC27B3"/>
    <w:rsid w:val="19D96EB2"/>
    <w:rsid w:val="1E9F430C"/>
    <w:rsid w:val="214F2A76"/>
    <w:rsid w:val="23C430F6"/>
    <w:rsid w:val="27817354"/>
    <w:rsid w:val="2CB07938"/>
    <w:rsid w:val="2E183AEA"/>
    <w:rsid w:val="32451796"/>
    <w:rsid w:val="32AF4B10"/>
    <w:rsid w:val="33F4D39C"/>
    <w:rsid w:val="37FE4C87"/>
    <w:rsid w:val="37FF5228"/>
    <w:rsid w:val="3AA31C39"/>
    <w:rsid w:val="3DDE5D20"/>
    <w:rsid w:val="3EAB0813"/>
    <w:rsid w:val="3FB71889"/>
    <w:rsid w:val="404A2495"/>
    <w:rsid w:val="409D23F4"/>
    <w:rsid w:val="43A4654F"/>
    <w:rsid w:val="44356802"/>
    <w:rsid w:val="45DBCD24"/>
    <w:rsid w:val="49567A64"/>
    <w:rsid w:val="4AC45797"/>
    <w:rsid w:val="4C3B20B4"/>
    <w:rsid w:val="4E24470E"/>
    <w:rsid w:val="50A83C2D"/>
    <w:rsid w:val="5126227E"/>
    <w:rsid w:val="52AE0E17"/>
    <w:rsid w:val="52F8088D"/>
    <w:rsid w:val="53B13BBE"/>
    <w:rsid w:val="566E0413"/>
    <w:rsid w:val="57AD18D8"/>
    <w:rsid w:val="57FF1EA3"/>
    <w:rsid w:val="5BEFE8CD"/>
    <w:rsid w:val="5BFBA7C4"/>
    <w:rsid w:val="5BFF2446"/>
    <w:rsid w:val="5BFF7DA8"/>
    <w:rsid w:val="5DF82A35"/>
    <w:rsid w:val="5E36617F"/>
    <w:rsid w:val="5ED942F1"/>
    <w:rsid w:val="5F577624"/>
    <w:rsid w:val="5F9DB8AC"/>
    <w:rsid w:val="5FCD40DD"/>
    <w:rsid w:val="5FD38C6D"/>
    <w:rsid w:val="61BE2D93"/>
    <w:rsid w:val="67A03710"/>
    <w:rsid w:val="693B57DF"/>
    <w:rsid w:val="69946AE9"/>
    <w:rsid w:val="69DF5AAC"/>
    <w:rsid w:val="69EB22EA"/>
    <w:rsid w:val="6A4465A3"/>
    <w:rsid w:val="6DFB2D0C"/>
    <w:rsid w:val="6E7C509D"/>
    <w:rsid w:val="6EDB622F"/>
    <w:rsid w:val="6F295411"/>
    <w:rsid w:val="6F3C4A9B"/>
    <w:rsid w:val="73575B8E"/>
    <w:rsid w:val="73FF8884"/>
    <w:rsid w:val="751761ED"/>
    <w:rsid w:val="76EB837D"/>
    <w:rsid w:val="79FFD2FB"/>
    <w:rsid w:val="7BA574BA"/>
    <w:rsid w:val="7BBC37BE"/>
    <w:rsid w:val="7BDD8448"/>
    <w:rsid w:val="7DA367C3"/>
    <w:rsid w:val="7DF732CD"/>
    <w:rsid w:val="7EEFD92F"/>
    <w:rsid w:val="7EFB5332"/>
    <w:rsid w:val="7F3E5E59"/>
    <w:rsid w:val="7FEEF3D3"/>
    <w:rsid w:val="7FFC902B"/>
    <w:rsid w:val="8F7D1F10"/>
    <w:rsid w:val="9E3DBE48"/>
    <w:rsid w:val="AFD0AE56"/>
    <w:rsid w:val="B7EF6189"/>
    <w:rsid w:val="BA7DE54B"/>
    <w:rsid w:val="BCFF9DAB"/>
    <w:rsid w:val="BF9B2677"/>
    <w:rsid w:val="BFFF6D99"/>
    <w:rsid w:val="CB9F7DE3"/>
    <w:rsid w:val="CD91ACA3"/>
    <w:rsid w:val="CDF74384"/>
    <w:rsid w:val="CFF38292"/>
    <w:rsid w:val="D7DED929"/>
    <w:rsid w:val="D7EB93ED"/>
    <w:rsid w:val="DAADB1E0"/>
    <w:rsid w:val="DDED2C1B"/>
    <w:rsid w:val="DDFBC54F"/>
    <w:rsid w:val="DFF73ED7"/>
    <w:rsid w:val="E9FF3BD0"/>
    <w:rsid w:val="EB5F0D18"/>
    <w:rsid w:val="EE7D77E5"/>
    <w:rsid w:val="EE970D48"/>
    <w:rsid w:val="EEA7B990"/>
    <w:rsid w:val="EFF49C0B"/>
    <w:rsid w:val="F5EF5F78"/>
    <w:rsid w:val="F5FF5605"/>
    <w:rsid w:val="F77D554A"/>
    <w:rsid w:val="F86F4E2B"/>
    <w:rsid w:val="FBDF5697"/>
    <w:rsid w:val="FBEFFBA4"/>
    <w:rsid w:val="FBFF3A84"/>
    <w:rsid w:val="FBFF9C82"/>
    <w:rsid w:val="FCC34684"/>
    <w:rsid w:val="FDBB0AC5"/>
    <w:rsid w:val="FDCBF68B"/>
    <w:rsid w:val="FDCEFBBD"/>
    <w:rsid w:val="FDEBBAA1"/>
    <w:rsid w:val="FDFF729A"/>
    <w:rsid w:val="FEDFF546"/>
    <w:rsid w:val="FEEF710F"/>
    <w:rsid w:val="FEF625DE"/>
    <w:rsid w:val="FEFFA8CE"/>
    <w:rsid w:val="FFBF5515"/>
    <w:rsid w:val="FFDDCD24"/>
    <w:rsid w:val="FFDF04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黑体" w:cs="宋体"/>
      <w:bCs/>
      <w:kern w:val="0"/>
      <w:sz w:val="28"/>
      <w:szCs w:val="27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560" w:lineRule="exact"/>
      <w:ind w:firstLine="660"/>
    </w:pPr>
    <w:rPr>
      <w:rFonts w:ascii="仿宋_GB2312" w:hAnsi="宋体" w:eastAsia="仿宋_GB2312"/>
      <w:sz w:val="32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p0"/>
    <w:basedOn w:val="1"/>
    <w:qFormat/>
    <w:uiPriority w:val="0"/>
    <w:pPr>
      <w:widowControl/>
      <w:adjustRightInd/>
      <w:spacing w:line="240" w:lineRule="auto"/>
      <w:textAlignment w:val="auto"/>
    </w:pPr>
    <w:rPr>
      <w:szCs w:val="21"/>
    </w:rPr>
  </w:style>
  <w:style w:type="paragraph" w:customStyle="1" w:styleId="12">
    <w:name w:val="样式 正文文本缩进 + 左侧:  2 字符"/>
    <w:qFormat/>
    <w:uiPriority w:val="0"/>
    <w:pPr>
      <w:widowControl w:val="0"/>
      <w:suppressAutoHyphens/>
      <w:spacing w:line="360" w:lineRule="auto"/>
      <w:ind w:firstLine="200"/>
      <w:jc w:val="both"/>
    </w:pPr>
    <w:rPr>
      <w:rFonts w:ascii="宋体" w:hAnsi="宋体" w:eastAsia="宋体" w:cs="宋体"/>
      <w:kern w:val="1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4307</Words>
  <Characters>4496</Characters>
  <Lines>0</Lines>
  <Paragraphs>0</Paragraphs>
  <TotalTime>16.6666666666667</TotalTime>
  <ScaleCrop>false</ScaleCrop>
  <LinksUpToDate>false</LinksUpToDate>
  <CharactersWithSpaces>4579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阮菊玲</cp:lastModifiedBy>
  <cp:lastPrinted>2026-05-12T14:37:43Z</cp:lastPrinted>
  <dcterms:modified xsi:type="dcterms:W3CDTF">2026-05-19T08:27:23Z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eyJoZGlkIjoiYzdhNTA3YmVjNGQwMGJkNTI1ZDAyZGZiMTA5MmJkZDMiLCJ1c2VySWQiOiIxNTY5MDExMDAyIn0=</vt:lpwstr>
  </property>
  <property fmtid="{D5CDD505-2E9C-101B-9397-08002B2CF9AE}" pid="4" name="ICV">
    <vt:lpwstr>F836C9A26DDA4AEABDA5C2625983C7E3_13</vt:lpwstr>
  </property>
</Properties>
</file>